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108" w:type="dxa"/>
        <w:tblLook w:val="01E0" w:firstRow="1" w:lastRow="1" w:firstColumn="1" w:lastColumn="1" w:noHBand="0" w:noVBand="0"/>
      </w:tblPr>
      <w:tblGrid>
        <w:gridCol w:w="3402"/>
        <w:gridCol w:w="6202"/>
      </w:tblGrid>
      <w:tr w:rsidR="0072570C" w:rsidRPr="0072570C" w:rsidTr="00C46FA9">
        <w:trPr>
          <w:trHeight w:val="344"/>
        </w:trPr>
        <w:tc>
          <w:tcPr>
            <w:tcW w:w="3402" w:type="dxa"/>
          </w:tcPr>
          <w:p w:rsidR="0072570C" w:rsidRPr="0072570C" w:rsidRDefault="0072570C" w:rsidP="0072570C">
            <w:pPr>
              <w:keepNext/>
              <w:spacing w:after="0" w:line="240" w:lineRule="auto"/>
              <w:ind w:right="43"/>
              <w:outlineLvl w:val="0"/>
              <w:rPr>
                <w:rFonts w:ascii="Times New Roman" w:eastAsia="Times New Roman" w:hAnsi="Times New Roman" w:cs="Times New Roman"/>
                <w:b/>
                <w:noProof/>
                <w:sz w:val="26"/>
                <w:szCs w:val="26"/>
                <w:lang w:val="vi-VN"/>
              </w:rPr>
            </w:pPr>
            <w:r w:rsidRPr="0072570C">
              <w:rPr>
                <w:rFonts w:ascii="Times New Roman" w:eastAsia="Times New Roman" w:hAnsi="Times New Roman" w:cs="Times New Roman"/>
                <w:b/>
                <w:noProof/>
                <w:sz w:val="26"/>
                <w:szCs w:val="26"/>
                <w:lang w:val="vi-VN"/>
              </w:rPr>
              <w:t>NGÂN HÀNG NHÀ NƯỚC</w:t>
            </w:r>
          </w:p>
          <w:p w:rsidR="0072570C" w:rsidRPr="0072570C" w:rsidRDefault="0072570C" w:rsidP="0072570C">
            <w:pPr>
              <w:spacing w:after="0" w:line="240" w:lineRule="auto"/>
              <w:ind w:right="43"/>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6"/>
                <w:szCs w:val="26"/>
                <w:lang w:val="vi-VN"/>
              </w:rPr>
              <w:t xml:space="preserve">            VIỆT NAM</w:t>
            </w:r>
          </w:p>
          <w:p w:rsidR="0072570C" w:rsidRPr="0072570C" w:rsidRDefault="0072570C" w:rsidP="0072570C">
            <w:pPr>
              <w:spacing w:after="0" w:line="240" w:lineRule="auto"/>
              <w:ind w:right="43"/>
              <w:rPr>
                <w:rFonts w:ascii="Times New Roman" w:eastAsia="Times New Roman" w:hAnsi="Times New Roman" w:cs="Times New Roman"/>
                <w:b/>
                <w:noProof/>
                <w:sz w:val="28"/>
                <w:szCs w:val="28"/>
                <w:vertAlign w:val="superscript"/>
                <w:lang w:val="vi-VN"/>
              </w:rPr>
            </w:pPr>
            <w:r w:rsidRPr="0072570C">
              <w:rPr>
                <w:rFonts w:ascii="Times New Roman" w:eastAsia="Times New Roman" w:hAnsi="Times New Roman" w:cs="Times New Roman"/>
                <w:b/>
                <w:noProof/>
                <w:sz w:val="28"/>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23495</wp:posOffset>
                      </wp:positionV>
                      <wp:extent cx="57150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C857D" id="_x0000_t32" coordsize="21600,21600" o:spt="32" o:oned="t" path="m,l21600,21600e" filled="f">
                      <v:path arrowok="t" fillok="f" o:connecttype="none"/>
                      <o:lock v:ext="edit" shapetype="t"/>
                    </v:shapetype>
                    <v:shape id="Straight Arrow Connector 3" o:spid="_x0000_s1026" type="#_x0000_t32" style="position:absolute;margin-left:47.55pt;margin-top:1.85pt;width: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"/>
                  </w:pict>
                </mc:Fallback>
              </mc:AlternateContent>
            </w:r>
            <w:r w:rsidRPr="0072570C">
              <w:rPr>
                <w:rFonts w:ascii="Times New Roman" w:eastAsia="Times New Roman" w:hAnsi="Times New Roman" w:cs="Times New Roman"/>
                <w:b/>
                <w:noProof/>
                <w:sz w:val="28"/>
                <w:szCs w:val="28"/>
                <w:vertAlign w:val="superscript"/>
                <w:lang w:val="vi-VN"/>
              </w:rPr>
              <w:t xml:space="preserve">                    </w:t>
            </w:r>
          </w:p>
        </w:tc>
        <w:tc>
          <w:tcPr>
            <w:tcW w:w="6202" w:type="dxa"/>
          </w:tcPr>
          <w:p w:rsidR="0072570C" w:rsidRPr="0072570C" w:rsidRDefault="0072570C" w:rsidP="0072570C">
            <w:pPr>
              <w:spacing w:after="0" w:line="240" w:lineRule="auto"/>
              <w:ind w:right="43"/>
              <w:rPr>
                <w:rFonts w:ascii="Times New Roman" w:eastAsia="Times New Roman" w:hAnsi="Times New Roman" w:cs="Times New Roman"/>
                <w:b/>
                <w:noProof/>
                <w:sz w:val="26"/>
                <w:szCs w:val="24"/>
                <w:lang w:val="vi-VN"/>
              </w:rPr>
            </w:pPr>
            <w:r w:rsidRPr="0072570C">
              <w:rPr>
                <w:rFonts w:ascii="Times New Roman" w:eastAsia="Times New Roman" w:hAnsi="Times New Roman" w:cs="Times New Roman"/>
                <w:b/>
                <w:noProof/>
                <w:sz w:val="26"/>
                <w:szCs w:val="24"/>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-450850</wp:posOffset>
                      </wp:positionV>
                      <wp:extent cx="461010" cy="278130"/>
                      <wp:effectExtent l="8255" t="13335"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78130"/>
                              </a:xfrm>
                              <a:prstGeom prst="rect">
                                <a:avLst/>
                              </a:prstGeom>
                              <a:solidFill>
                                <a:srgbClr val="FFFFFF"/>
                              </a:solidFill>
                              <a:ln w="9525">
                                <a:solidFill>
                                  <a:srgbClr val="FFFFFF"/>
                                </a:solidFill>
                                <a:miter lim="800000"/>
                                <a:headEnd/>
                                <a:tailEnd/>
                              </a:ln>
                            </wps:spPr>
                            <wps:txbx>
                              <w:txbxContent>
                                <w:p w:rsidR="0072570C" w:rsidRDefault="0072570C" w:rsidP="00725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pt;margin-top:-35.5pt;width:36.3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" strokecolor="white">
                      <v:textbox>
                        <w:txbxContent>
                          <w:p w:rsidR="0072570C" w:rsidRDefault="0072570C" w:rsidP="0072570C"/>
                        </w:txbxContent>
                      </v:textbox>
                    </v:shape>
                  </w:pict>
                </mc:Fallback>
              </mc:AlternateContent>
            </w:r>
            <w:r w:rsidRPr="0072570C">
              <w:rPr>
                <w:rFonts w:ascii="Times New Roman" w:eastAsia="Times New Roman" w:hAnsi="Times New Roman" w:cs="Times New Roman"/>
                <w:b/>
                <w:noProof/>
                <w:sz w:val="26"/>
                <w:szCs w:val="24"/>
                <w:lang w:val="vi-VN"/>
              </w:rPr>
              <w:t>CỘNG HOÀ XÃ HỘI CHỦ NGHĨA VIỆT NAM</w:t>
            </w:r>
          </w:p>
          <w:p w:rsidR="0072570C" w:rsidRPr="0072570C" w:rsidRDefault="0072570C" w:rsidP="0072570C">
            <w:pPr>
              <w:spacing w:after="0" w:line="240" w:lineRule="auto"/>
              <w:ind w:right="43"/>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ab/>
              <w:t xml:space="preserve">     Độc lập - Tự do - Hạnh phúc</w:t>
            </w:r>
          </w:p>
          <w:p w:rsidR="0072570C" w:rsidRPr="0072570C" w:rsidRDefault="0072570C" w:rsidP="0072570C">
            <w:pPr>
              <w:spacing w:after="0" w:line="240" w:lineRule="auto"/>
              <w:ind w:right="43"/>
              <w:jc w:val="center"/>
              <w:rPr>
                <w:rFonts w:ascii="Times New Roman" w:eastAsia="Times New Roman" w:hAnsi="Times New Roman" w:cs="Times New Roman"/>
                <w:b/>
                <w:noProof/>
                <w:sz w:val="28"/>
                <w:szCs w:val="28"/>
                <w:vertAlign w:val="superscript"/>
                <w:lang w:val="vi-VN"/>
              </w:rPr>
            </w:pPr>
            <w:r w:rsidRPr="0072570C">
              <w:rPr>
                <w:rFonts w:ascii="Times New Roman" w:eastAsia="Times New Roman" w:hAnsi="Times New Roman" w:cs="Times New Roman"/>
                <w:b/>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8890</wp:posOffset>
                      </wp:positionV>
                      <wp:extent cx="2019300" cy="0"/>
                      <wp:effectExtent l="8890"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809D7" id="Straight Arrow Connector 1" o:spid="_x0000_s1026" type="#_x0000_t32" style="position:absolute;margin-left:61.9pt;margin-top:.7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"/>
                  </w:pict>
                </mc:Fallback>
              </mc:AlternateContent>
            </w:r>
          </w:p>
        </w:tc>
      </w:tr>
      <w:tr w:rsidR="0072570C" w:rsidRPr="0072570C" w:rsidTr="00C46FA9">
        <w:trPr>
          <w:trHeight w:val="875"/>
        </w:trPr>
        <w:tc>
          <w:tcPr>
            <w:tcW w:w="3402" w:type="dxa"/>
          </w:tcPr>
          <w:p w:rsidR="0072570C" w:rsidRPr="0072570C" w:rsidRDefault="0072570C" w:rsidP="0072570C">
            <w:pPr>
              <w:spacing w:after="0" w:line="240" w:lineRule="auto"/>
              <w:ind w:right="43"/>
              <w:rPr>
                <w:rFonts w:ascii="Times New Roman" w:eastAsia="Times New Roman" w:hAnsi="Times New Roman" w:cs="Times New Roman"/>
                <w:noProof/>
                <w:sz w:val="26"/>
                <w:szCs w:val="26"/>
                <w:lang w:val="vi-VN"/>
              </w:rPr>
            </w:pPr>
            <w:r w:rsidRPr="0072570C">
              <w:rPr>
                <w:rFonts w:ascii="Times New Roman" w:eastAsia="Times New Roman" w:hAnsi="Times New Roman" w:cs="Times New Roman"/>
                <w:noProof/>
                <w:sz w:val="26"/>
                <w:szCs w:val="26"/>
                <w:lang w:val="vi-VN"/>
              </w:rPr>
              <w:t>Số:</w:t>
            </w:r>
            <w:r w:rsidRPr="0072570C">
              <w:rPr>
                <w:rFonts w:ascii="Times New Roman" w:eastAsia="Times New Roman" w:hAnsi="Times New Roman" w:cs="Times New Roman"/>
                <w:noProof/>
                <w:sz w:val="26"/>
                <w:szCs w:val="26"/>
              </w:rPr>
              <w:t>22</w:t>
            </w:r>
            <w:r w:rsidRPr="0072570C">
              <w:rPr>
                <w:rFonts w:ascii="Times New Roman" w:eastAsia="Times New Roman" w:hAnsi="Times New Roman" w:cs="Times New Roman"/>
                <w:noProof/>
                <w:sz w:val="26"/>
                <w:szCs w:val="26"/>
                <w:lang w:val="vi-VN"/>
              </w:rPr>
              <w:t>/2018/TT-NHNN</w:t>
            </w:r>
          </w:p>
        </w:tc>
        <w:tc>
          <w:tcPr>
            <w:tcW w:w="6202" w:type="dxa"/>
          </w:tcPr>
          <w:p w:rsidR="0072570C" w:rsidRPr="0072570C" w:rsidRDefault="0072570C" w:rsidP="0072570C">
            <w:pPr>
              <w:spacing w:after="0" w:line="240" w:lineRule="auto"/>
              <w:ind w:right="43"/>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i/>
                <w:noProof/>
                <w:sz w:val="28"/>
                <w:szCs w:val="28"/>
                <w:lang w:val="vi-VN"/>
              </w:rPr>
              <w:t xml:space="preserve">Hà Nội, ngày  </w:t>
            </w:r>
            <w:r w:rsidRPr="0072570C">
              <w:rPr>
                <w:rFonts w:ascii="Times New Roman" w:eastAsia="Times New Roman" w:hAnsi="Times New Roman" w:cs="Times New Roman"/>
                <w:i/>
                <w:noProof/>
                <w:sz w:val="28"/>
                <w:szCs w:val="28"/>
              </w:rPr>
              <w:t xml:space="preserve">05 </w:t>
            </w:r>
            <w:r w:rsidRPr="0072570C">
              <w:rPr>
                <w:rFonts w:ascii="Times New Roman" w:eastAsia="Times New Roman" w:hAnsi="Times New Roman" w:cs="Times New Roman"/>
                <w:i/>
                <w:noProof/>
                <w:sz w:val="28"/>
                <w:szCs w:val="28"/>
                <w:lang w:val="vi-VN"/>
              </w:rPr>
              <w:t xml:space="preserve"> tháng  </w:t>
            </w:r>
            <w:r w:rsidRPr="0072570C">
              <w:rPr>
                <w:rFonts w:ascii="Times New Roman" w:eastAsia="Times New Roman" w:hAnsi="Times New Roman" w:cs="Times New Roman"/>
                <w:i/>
                <w:noProof/>
                <w:sz w:val="28"/>
                <w:szCs w:val="28"/>
              </w:rPr>
              <w:t>9</w:t>
            </w:r>
            <w:r w:rsidRPr="0072570C">
              <w:rPr>
                <w:rFonts w:ascii="Times New Roman" w:eastAsia="Times New Roman" w:hAnsi="Times New Roman" w:cs="Times New Roman"/>
                <w:i/>
                <w:noProof/>
                <w:sz w:val="28"/>
                <w:szCs w:val="28"/>
                <w:lang w:val="vi-VN"/>
              </w:rPr>
              <w:t xml:space="preserve"> năm 2018 </w:t>
            </w:r>
          </w:p>
        </w:tc>
      </w:tr>
    </w:tbl>
    <w:p w:rsidR="0072570C" w:rsidRPr="0072570C" w:rsidRDefault="0072570C" w:rsidP="0072570C">
      <w:pPr>
        <w:spacing w:after="0" w:line="240" w:lineRule="auto"/>
        <w:ind w:right="45"/>
        <w:jc w:val="both"/>
        <w:rPr>
          <w:rFonts w:ascii="Times New Roman" w:eastAsia="Times New Roman" w:hAnsi="Times New Roman" w:cs="Times New Roman"/>
          <w:b/>
          <w:noProof/>
          <w:sz w:val="12"/>
          <w:szCs w:val="24"/>
          <w:lang w:val="vi-VN"/>
        </w:rPr>
      </w:pPr>
    </w:p>
    <w:p w:rsidR="0072570C" w:rsidRPr="0072570C" w:rsidRDefault="0072570C" w:rsidP="0072570C">
      <w:pPr>
        <w:spacing w:before="60" w:after="60" w:line="288" w:lineRule="auto"/>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THÔNG TƯ</w:t>
      </w:r>
    </w:p>
    <w:p w:rsidR="0072570C" w:rsidRPr="0072570C" w:rsidRDefault="0072570C" w:rsidP="0072570C">
      <w:pPr>
        <w:spacing w:before="60" w:after="60" w:line="288" w:lineRule="auto"/>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Hướng dẫn về thủ tục, hồ sơ chấp thuận danh sách dự kiến nhân sự </w:t>
      </w:r>
    </w:p>
    <w:p w:rsidR="0072570C" w:rsidRPr="0072570C" w:rsidRDefault="0072570C" w:rsidP="0072570C">
      <w:pPr>
        <w:spacing w:before="60" w:after="60" w:line="288" w:lineRule="auto"/>
        <w:ind w:right="45"/>
        <w:jc w:val="center"/>
        <w:rPr>
          <w:rFonts w:ascii="Times New Roman" w:eastAsia="Times New Roman" w:hAnsi="Times New Roman" w:cs="Times New Roman"/>
          <w:b/>
          <w:noProof/>
          <w:sz w:val="28"/>
          <w:szCs w:val="24"/>
        </w:rPr>
      </w:pPr>
      <w:r w:rsidRPr="0072570C">
        <w:rPr>
          <w:rFonts w:ascii="Times New Roman" w:eastAsia="Times New Roman" w:hAnsi="Times New Roman" w:cs="Times New Roman"/>
          <w:b/>
          <w:noProof/>
          <w:sz w:val="28"/>
          <w:szCs w:val="24"/>
          <w:lang w:val="vi-VN"/>
        </w:rPr>
        <w:t xml:space="preserve">của ngân hàng thương mại, tổ chức tín dụng phi ngân hàng và chi nhánh </w:t>
      </w:r>
    </w:p>
    <w:p w:rsidR="0072570C" w:rsidRPr="0072570C" w:rsidRDefault="0072570C" w:rsidP="0072570C">
      <w:pPr>
        <w:spacing w:before="60" w:after="60" w:line="288" w:lineRule="auto"/>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ngân hàng nước ngoài </w:t>
      </w:r>
    </w:p>
    <w:p w:rsidR="0072570C" w:rsidRPr="0072570C" w:rsidRDefault="0072570C" w:rsidP="0072570C">
      <w:pPr>
        <w:spacing w:before="120" w:after="120" w:line="288" w:lineRule="auto"/>
        <w:ind w:right="45"/>
        <w:jc w:val="center"/>
        <w:rPr>
          <w:rFonts w:ascii="Times New Roman" w:eastAsia="Times New Roman" w:hAnsi="Times New Roman" w:cs="Times New Roman"/>
          <w:noProof/>
          <w:sz w:val="20"/>
          <w:szCs w:val="24"/>
          <w:lang w:val="vi-VN"/>
        </w:rPr>
      </w:pPr>
    </w:p>
    <w:p w:rsidR="0072570C" w:rsidRPr="0072570C" w:rsidRDefault="0072570C" w:rsidP="0072570C">
      <w:pPr>
        <w:spacing w:before="120" w:after="120" w:line="288"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Ngân hàng Nhà nước Việt Nam ngày 16 tháng 6 năm 2010;</w:t>
      </w:r>
    </w:p>
    <w:p w:rsidR="0072570C" w:rsidRPr="0072570C" w:rsidRDefault="0072570C" w:rsidP="0072570C">
      <w:pPr>
        <w:spacing w:before="120" w:after="120" w:line="288"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Các tổ chức tín dụng ngày 16 tháng 6 năm 2010</w:t>
      </w:r>
      <w:r w:rsidRPr="0072570C">
        <w:rPr>
          <w:rFonts w:ascii="Times New Roman" w:eastAsia="Times New Roman" w:hAnsi="Times New Roman" w:cs="Times New Roman"/>
          <w:i/>
          <w:noProof/>
          <w:sz w:val="28"/>
          <w:szCs w:val="24"/>
        </w:rPr>
        <w:t xml:space="preserve"> và</w:t>
      </w:r>
      <w:r w:rsidRPr="0072570C">
        <w:rPr>
          <w:rFonts w:ascii="Times New Roman" w:eastAsia="Times New Roman" w:hAnsi="Times New Roman" w:cs="Times New Roman"/>
          <w:i/>
          <w:noProof/>
          <w:sz w:val="28"/>
          <w:szCs w:val="24"/>
          <w:lang w:val="vi-VN"/>
        </w:rPr>
        <w:t xml:space="preserve"> Luật sửa đổi, bổ sung một số điều của Luật Các tổ chức tín dụng ngày 20 tháng 11 năm 2017 (sau đây gọi là Luật Các tổ chức tín dụng);</w:t>
      </w:r>
    </w:p>
    <w:p w:rsidR="0072570C" w:rsidRPr="0072570C" w:rsidRDefault="0072570C" w:rsidP="0072570C">
      <w:pPr>
        <w:spacing w:before="120" w:after="120" w:line="288"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Nghị định số 16/2017/NĐ-CP ngày 17 tháng 02 năm 2017 của Chính phủ về việc quy định chức năng, nhiệm vụ, quyền hạn và cơ cấu tổ chức của Ngân hàng Nhà nước Việt Nam;</w:t>
      </w:r>
    </w:p>
    <w:p w:rsidR="0072570C" w:rsidRPr="0072570C" w:rsidRDefault="0072570C" w:rsidP="0072570C">
      <w:pPr>
        <w:spacing w:before="120" w:after="120" w:line="288"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Theo đề nghị của Chánh Thanh tra, giám sát ngân hàng;</w:t>
      </w:r>
    </w:p>
    <w:p w:rsidR="0072570C" w:rsidRPr="0072570C" w:rsidRDefault="0072570C" w:rsidP="0072570C">
      <w:pPr>
        <w:spacing w:before="120" w:after="120" w:line="288" w:lineRule="auto"/>
        <w:ind w:right="45" w:firstLine="720"/>
        <w:jc w:val="both"/>
        <w:rPr>
          <w:rFonts w:ascii="Times New Roman" w:eastAsia="Times New Roman" w:hAnsi="Times New Roman" w:cs="Times New Roman"/>
          <w:noProof/>
          <w:sz w:val="16"/>
          <w:szCs w:val="24"/>
          <w:lang w:val="vi-VN"/>
        </w:rPr>
      </w:pPr>
      <w:r w:rsidRPr="0072570C">
        <w:rPr>
          <w:rFonts w:ascii="Times New Roman" w:eastAsia="Times New Roman" w:hAnsi="Times New Roman" w:cs="Times New Roman"/>
          <w:i/>
          <w:noProof/>
          <w:sz w:val="28"/>
          <w:szCs w:val="24"/>
          <w:lang w:val="vi-VN"/>
        </w:rPr>
        <w:t>Thống đốc Ngân hàng Nhà nước Việt Nam ban hành Thông tư hướng dẫn về thủ tục, hồ sơ chấp thuận danh sách dự kiến nhân sự của ngân hàng thương mại, tổ chức tín dụng phi ngân hàng và chi nhánh ngân hàng nước ngoài.</w:t>
      </w:r>
    </w:p>
    <w:p w:rsidR="0072570C" w:rsidRPr="0072570C" w:rsidRDefault="0072570C" w:rsidP="0072570C">
      <w:pPr>
        <w:spacing w:before="120" w:after="120" w:line="288" w:lineRule="auto"/>
        <w:ind w:right="4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Chương I</w:t>
      </w:r>
    </w:p>
    <w:p w:rsidR="0072570C" w:rsidRPr="0072570C" w:rsidRDefault="0072570C" w:rsidP="0072570C">
      <w:pPr>
        <w:spacing w:before="120" w:after="120" w:line="288" w:lineRule="auto"/>
        <w:ind w:right="45" w:firstLine="720"/>
        <w:jc w:val="center"/>
        <w:rPr>
          <w:rFonts w:ascii="Times New Roman" w:eastAsia="Times New Roman" w:hAnsi="Times New Roman" w:cs="Times New Roman"/>
          <w:noProof/>
          <w:sz w:val="16"/>
          <w:szCs w:val="24"/>
          <w:lang w:val="vi-VN"/>
        </w:rPr>
      </w:pPr>
      <w:r w:rsidRPr="0072570C">
        <w:rPr>
          <w:rFonts w:ascii="Times New Roman" w:eastAsia="Times New Roman" w:hAnsi="Times New Roman" w:cs="Times New Roman"/>
          <w:b/>
          <w:noProof/>
          <w:sz w:val="26"/>
          <w:szCs w:val="26"/>
          <w:lang w:val="vi-VN"/>
        </w:rPr>
        <w:t>QUY ĐỊNH CHUNG</w:t>
      </w:r>
    </w:p>
    <w:p w:rsidR="0072570C" w:rsidRPr="0072570C" w:rsidRDefault="0072570C" w:rsidP="0072570C">
      <w:pPr>
        <w:spacing w:before="120" w:after="120" w:line="288" w:lineRule="auto"/>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Điều 1. Phạm vi điều chỉnh </w:t>
      </w:r>
    </w:p>
    <w:p w:rsidR="0072570C" w:rsidRPr="0072570C" w:rsidRDefault="0072570C" w:rsidP="0072570C">
      <w:pPr>
        <w:spacing w:before="120" w:after="120" w:line="288" w:lineRule="auto"/>
        <w:ind w:right="45" w:firstLine="720"/>
        <w:jc w:val="both"/>
        <w:rPr>
          <w:rFonts w:ascii="Times New Roman" w:eastAsia="Times New Roman" w:hAnsi="Times New Roman" w:cs="Times New Roman"/>
          <w:noProof/>
          <w:sz w:val="28"/>
          <w:szCs w:val="24"/>
          <w:lang w:val="vi-VN"/>
        </w:rPr>
      </w:pPr>
      <w:r w:rsidRPr="0072570C">
        <w:rPr>
          <w:rFonts w:ascii="Times New Roman" w:eastAsia="Times New Roman" w:hAnsi="Times New Roman" w:cs="Times New Roman"/>
          <w:noProof/>
          <w:sz w:val="28"/>
          <w:szCs w:val="24"/>
          <w:lang w:val="vi-VN"/>
        </w:rPr>
        <w:t xml:space="preserve">1. Thông tư này hướng dẫn về thủ tục, hồ sơ chấp thuận danh sách dự kiến những người được bầu, bổ nhiệm làm thành viên Hội đồng quản trị, thành viên Hội đồng thành viên, thành viên Ban kiểm soát, Tổng Giám đốc (Giám đốc) (sau đây gọi là nhân sự) theo quy định của Luật Các tổ chức tín dụng đối với ngân hàng thương mại, tổ chức tín dụng phi ngân hàng và chi nhánh ngân hàng nước ngoài đã được Ngân hàng Nhà nước Việt Nam (sau đây gọi là Ngân hàng Nhà nước) cấp Giấy phép thành lập và hoạt động.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4"/>
          <w:lang w:val="vi-VN"/>
        </w:rPr>
      </w:pPr>
      <w:r w:rsidRPr="0072570C">
        <w:rPr>
          <w:rFonts w:ascii="Times New Roman" w:eastAsia="Times New Roman" w:hAnsi="Times New Roman" w:cs="Times New Roman"/>
          <w:noProof/>
          <w:sz w:val="28"/>
          <w:szCs w:val="24"/>
          <w:lang w:val="vi-VN"/>
        </w:rPr>
        <w:t xml:space="preserve">2. Việc chấp thuận danh sách dự kiến nhân sự của ngân hàng thương mại Nhà nước; việc chấp thuận danh sách dự kiến nhân sự đối với những nhân sự do chủ sở hữu phần vốn Nhà nước cử hoặc giới thiệu làm thành viên Hội đồng quản trị, thành viên Ban kiểm soát, Tổng Giám đốc của Ngân hàng thương mại cổ phần </w:t>
      </w:r>
      <w:r w:rsidRPr="0072570C">
        <w:rPr>
          <w:rFonts w:ascii="Times New Roman" w:eastAsia="Times New Roman" w:hAnsi="Times New Roman" w:cs="Times New Roman"/>
          <w:noProof/>
          <w:sz w:val="28"/>
          <w:szCs w:val="24"/>
          <w:lang w:val="vi-VN"/>
        </w:rPr>
        <w:lastRenderedPageBreak/>
        <w:t>do Nhà nước sở hữu trên 50% vốn điều lệ thực hiện theo các văn bản về công tác cán bộ của Thống đốc Ngân hàng Nhà nước.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Điều 2. Đối tượng áp dụng</w:t>
      </w:r>
    </w:p>
    <w:p w:rsidR="0072570C" w:rsidRPr="0072570C" w:rsidRDefault="0072570C" w:rsidP="0072570C">
      <w:pPr>
        <w:spacing w:before="100" w:after="100" w:line="288" w:lineRule="auto"/>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Ngân hàng thương mại (trừ ngân hàng thương mại Nhà nước), tổ chức tín dụng phi ngân hàng (sau đây gọi là tổ chức tín dụng).</w:t>
      </w:r>
    </w:p>
    <w:p w:rsidR="0072570C" w:rsidRPr="0072570C" w:rsidRDefault="0072570C" w:rsidP="0072570C">
      <w:pPr>
        <w:spacing w:before="100" w:after="100" w:line="288" w:lineRule="auto"/>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Chi nhánh ngân hàng nước ngoài.</w:t>
      </w:r>
    </w:p>
    <w:p w:rsidR="0072570C" w:rsidRPr="0072570C" w:rsidRDefault="0072570C" w:rsidP="0072570C">
      <w:pPr>
        <w:spacing w:before="100" w:after="100" w:line="288" w:lineRule="auto"/>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3. Tổ chức, cá nhân có liên quan đến thủ tục, hồ sơ chấp thuận danh sách dự kiến nhân sự của tổ chức tín dụng, chi nhánh ngân hàng nước ngoài.</w:t>
      </w:r>
    </w:p>
    <w:p w:rsidR="0072570C" w:rsidRPr="0072570C" w:rsidRDefault="0072570C" w:rsidP="0072570C">
      <w:pPr>
        <w:keepNext/>
        <w:spacing w:before="100" w:after="100" w:line="288" w:lineRule="auto"/>
        <w:ind w:right="43" w:firstLine="720"/>
        <w:jc w:val="both"/>
        <w:outlineLvl w:val="1"/>
        <w:rPr>
          <w:rFonts w:ascii="Times New Roman" w:eastAsia="Times New Roman" w:hAnsi="Times New Roman" w:cs="Times New Roman"/>
          <w:b/>
          <w:bCs/>
          <w:iCs/>
          <w:noProof/>
          <w:sz w:val="28"/>
          <w:szCs w:val="28"/>
          <w:lang w:val="vi-VN"/>
        </w:rPr>
      </w:pPr>
      <w:bookmarkStart w:id="0" w:name="_Toc210530180"/>
      <w:bookmarkStart w:id="1" w:name="_Toc210530327"/>
      <w:bookmarkStart w:id="2" w:name="_Ref210530978"/>
      <w:bookmarkStart w:id="3" w:name="_Ref210615596"/>
      <w:bookmarkStart w:id="4" w:name="_Ref210620436"/>
      <w:bookmarkStart w:id="5" w:name="_Ref210638471"/>
      <w:bookmarkStart w:id="6" w:name="_Ref210641340"/>
      <w:bookmarkStart w:id="7" w:name="_Ref210642558"/>
      <w:bookmarkStart w:id="8" w:name="_Toc226470909"/>
      <w:r w:rsidRPr="0072570C">
        <w:rPr>
          <w:rFonts w:ascii="Times New Roman" w:eastAsia="Times New Roman" w:hAnsi="Times New Roman" w:cs="Times New Roman"/>
          <w:b/>
          <w:bCs/>
          <w:iCs/>
          <w:noProof/>
          <w:sz w:val="28"/>
          <w:szCs w:val="28"/>
          <w:lang w:val="vi-VN"/>
        </w:rPr>
        <w:t xml:space="preserve">Điều 3. </w:t>
      </w:r>
      <w:bookmarkEnd w:id="0"/>
      <w:bookmarkEnd w:id="1"/>
      <w:bookmarkEnd w:id="2"/>
      <w:bookmarkEnd w:id="3"/>
      <w:bookmarkEnd w:id="4"/>
      <w:bookmarkEnd w:id="5"/>
      <w:bookmarkEnd w:id="6"/>
      <w:bookmarkEnd w:id="7"/>
      <w:bookmarkEnd w:id="8"/>
      <w:r w:rsidRPr="0072570C">
        <w:rPr>
          <w:rFonts w:ascii="Times New Roman" w:eastAsia="Times New Roman" w:hAnsi="Times New Roman" w:cs="Times New Roman"/>
          <w:b/>
          <w:noProof/>
          <w:sz w:val="28"/>
          <w:szCs w:val="24"/>
          <w:lang w:val="vi-VN"/>
        </w:rPr>
        <w:t>Nguyên tắc lập và gửi hồ sơ</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Hồ sơ đề nghị chấp thuận danh sách dự kiến nhân sự của tổ chức tín dụng, chi nhánh ngân hàng nước ngoài phải được lập theo nguyên tắc sau:</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Các bản dịch từ tiếng nước ngoài ra tiếng Việt phải được công chứng bản dịch hoặc chứng thực chữ ký của người dịch theo quy định của pháp luật;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c) Các bản sao hồ sơ, tài liệu của nhân sự dự kiến bầu, bổ nhiệm phải là bản sao từ sổ gốc hoặc là bản sao được chứng thực từ bản chính theo quy định của pháp luật;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d) Các văn bản do nhân sự dự kiến bầu, bổ nhiệm tự lập phải được chứng thực chữ ký theo quy định của pháp luật.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2. Văn bản </w:t>
      </w:r>
      <w:r w:rsidRPr="0072570C">
        <w:rPr>
          <w:rFonts w:ascii="Times New Roman" w:eastAsia="Times New Roman" w:hAnsi="Times New Roman" w:cs="Times New Roman"/>
          <w:noProof/>
          <w:sz w:val="28"/>
          <w:szCs w:val="28"/>
        </w:rPr>
        <w:t xml:space="preserve">của tổ chức tín dụng, chi nhánh ngân hàng nước ngoài </w:t>
      </w:r>
      <w:r w:rsidRPr="0072570C">
        <w:rPr>
          <w:rFonts w:ascii="Times New Roman" w:eastAsia="Times New Roman" w:hAnsi="Times New Roman" w:cs="Times New Roman"/>
          <w:noProof/>
          <w:sz w:val="28"/>
          <w:szCs w:val="28"/>
          <w:lang w:val="vi-VN"/>
        </w:rPr>
        <w:t xml:space="preserve">đề nghị Ngân hàng Nhà nước chấp thuận danh sách dự kiến nhân sự </w:t>
      </w:r>
      <w:r w:rsidRPr="0072570C">
        <w:rPr>
          <w:rFonts w:ascii="Times New Roman" w:eastAsia="Times New Roman" w:hAnsi="Times New Roman" w:cs="Times New Roman"/>
          <w:noProof/>
          <w:sz w:val="28"/>
          <w:szCs w:val="28"/>
        </w:rPr>
        <w:t>phải do</w:t>
      </w:r>
      <w:r w:rsidRPr="0072570C">
        <w:rPr>
          <w:rFonts w:ascii="Times New Roman" w:eastAsia="Times New Roman" w:hAnsi="Times New Roman" w:cs="Times New Roman"/>
          <w:noProof/>
          <w:sz w:val="28"/>
          <w:szCs w:val="28"/>
          <w:lang w:val="vi-VN"/>
        </w:rPr>
        <w:t xml:space="preserve"> người đại diện theo pháp luật hoặc người đại diện theo ủy quyền</w:t>
      </w:r>
      <w:r w:rsidRPr="0072570C">
        <w:rPr>
          <w:rFonts w:ascii="Times New Roman" w:eastAsia="Times New Roman" w:hAnsi="Times New Roman" w:cs="Times New Roman"/>
          <w:noProof/>
          <w:sz w:val="28"/>
          <w:szCs w:val="28"/>
        </w:rPr>
        <w:t xml:space="preserve"> (sau đây gọi là người đại diện hợp pháp) ký</w:t>
      </w:r>
      <w:r w:rsidRPr="0072570C">
        <w:rPr>
          <w:rFonts w:ascii="Times New Roman" w:eastAsia="Times New Roman" w:hAnsi="Times New Roman" w:cs="Times New Roman"/>
          <w:noProof/>
          <w:sz w:val="28"/>
          <w:szCs w:val="28"/>
          <w:lang w:val="vi-VN"/>
        </w:rPr>
        <w: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Trường hợp văn bản đề nghị của tổ chức tín dụng, chi nhánh ngân hàng nước ngoài </w:t>
      </w:r>
      <w:r w:rsidRPr="0072570C">
        <w:rPr>
          <w:rFonts w:ascii="Times New Roman" w:eastAsia="Times New Roman" w:hAnsi="Times New Roman" w:cs="Times New Roman"/>
          <w:noProof/>
          <w:sz w:val="28"/>
          <w:szCs w:val="28"/>
        </w:rPr>
        <w:t>do</w:t>
      </w:r>
      <w:r w:rsidRPr="0072570C">
        <w:rPr>
          <w:rFonts w:ascii="Times New Roman" w:eastAsia="Times New Roman" w:hAnsi="Times New Roman" w:cs="Times New Roman"/>
          <w:noProof/>
          <w:sz w:val="28"/>
          <w:szCs w:val="28"/>
          <w:lang w:val="vi-VN"/>
        </w:rPr>
        <w:t xml:space="preserve"> người đại diện theo ủy quyền</w:t>
      </w:r>
      <w:r w:rsidRPr="0072570C">
        <w:rPr>
          <w:rFonts w:ascii="Times New Roman" w:eastAsia="Times New Roman" w:hAnsi="Times New Roman" w:cs="Times New Roman"/>
          <w:noProof/>
          <w:sz w:val="28"/>
          <w:szCs w:val="28"/>
        </w:rPr>
        <w:t xml:space="preserve"> ký</w:t>
      </w:r>
      <w:r w:rsidRPr="0072570C">
        <w:rPr>
          <w:rFonts w:ascii="Times New Roman" w:eastAsia="Times New Roman" w:hAnsi="Times New Roman" w:cs="Times New Roman"/>
          <w:noProof/>
          <w:sz w:val="28"/>
          <w:szCs w:val="28"/>
          <w:lang w:val="vi-VN"/>
        </w:rPr>
        <w:t>, hồ sơ phải có văn bản ủy quyền được lập phù hợp với quy định của pháp luật.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3. Hồ sơ đính kèm danh mục hồ sơ của tổ chức tín dụng, chi nhánh ngân hàng nước ngoài gửi bằng đường bưu điện hoặc nộp trực tiếp tại Ngân hàng Nhà nước.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4. Tổ chức tín dụng, chi nhánh ngân hàng nước ngoài và nhân sự dự kiến bầu, bổ nhiệm phải chịu trách nhiệm trước pháp luật về tính đầy đủ, chính xác, trung thực của hồ sơ.</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Điều 4. Thẩm quyền của Ngân hàng Nhà nước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4"/>
          <w:lang w:val="vi-VN"/>
        </w:rPr>
      </w:pPr>
      <w:r w:rsidRPr="0072570C">
        <w:rPr>
          <w:rFonts w:ascii="Times New Roman" w:eastAsia="Times New Roman" w:hAnsi="Times New Roman" w:cs="Times New Roman"/>
          <w:noProof/>
          <w:sz w:val="28"/>
          <w:szCs w:val="24"/>
          <w:lang w:val="vi-VN"/>
        </w:rPr>
        <w:t>Thống đốc Ngân hàng Nhà nước xem xét, chấp thuận danh sách dự kiến nhân sự của tổ chức tín dụng, chi nhánh ngân hàng nước ngoài.</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Điều 5. Thời hạn hiệu lực của văn bản chấp thuận danh sách dự kiến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12"/>
          <w:szCs w:val="26"/>
          <w:lang w:val="vi-VN"/>
        </w:rPr>
      </w:pPr>
      <w:r w:rsidRPr="0072570C">
        <w:rPr>
          <w:rFonts w:ascii="Times New Roman" w:eastAsia="Times New Roman" w:hAnsi="Times New Roman" w:cs="Times New Roman"/>
          <w:noProof/>
          <w:sz w:val="28"/>
          <w:szCs w:val="24"/>
          <w:lang w:val="vi-VN"/>
        </w:rPr>
        <w:t>Văn bản của Ngân hàng Nhà nước chấp thuận danh sách dự kiến nhân sự của tổ chức tín dụng, chi nhánh ngân hàng nước ngoài có hiệu lực trong thời hạn 06 tháng kể từ ngày ký. Quá thời hạn này</w:t>
      </w:r>
      <w:r w:rsidRPr="0072570C">
        <w:rPr>
          <w:rFonts w:ascii="Times New Roman" w:eastAsia="Times New Roman" w:hAnsi="Times New Roman" w:cs="Times New Roman"/>
          <w:noProof/>
          <w:sz w:val="28"/>
          <w:szCs w:val="24"/>
        </w:rPr>
        <w:t>,</w:t>
      </w:r>
      <w:r w:rsidRPr="0072570C">
        <w:rPr>
          <w:rFonts w:ascii="Times New Roman" w:eastAsia="Times New Roman" w:hAnsi="Times New Roman" w:cs="Times New Roman"/>
          <w:noProof/>
          <w:sz w:val="28"/>
          <w:szCs w:val="24"/>
          <w:lang w:val="vi-VN"/>
        </w:rPr>
        <w:t xml:space="preserve"> </w:t>
      </w:r>
      <w:r w:rsidRPr="0072570C">
        <w:rPr>
          <w:rFonts w:ascii="Times New Roman" w:eastAsia="Times New Roman" w:hAnsi="Times New Roman" w:cs="Times New Roman"/>
          <w:noProof/>
          <w:sz w:val="28"/>
          <w:szCs w:val="24"/>
        </w:rPr>
        <w:t xml:space="preserve">việc bầu, bổ nhiệm nhân sự của </w:t>
      </w:r>
      <w:r w:rsidRPr="0072570C">
        <w:rPr>
          <w:rFonts w:ascii="Times New Roman" w:eastAsia="Times New Roman" w:hAnsi="Times New Roman" w:cs="Times New Roman"/>
          <w:noProof/>
          <w:sz w:val="28"/>
          <w:szCs w:val="24"/>
          <w:lang w:val="vi-VN"/>
        </w:rPr>
        <w:t xml:space="preserve">tổ chức tín dụng, </w:t>
      </w:r>
      <w:r w:rsidRPr="0072570C">
        <w:rPr>
          <w:rFonts w:ascii="Times New Roman" w:eastAsia="Times New Roman" w:hAnsi="Times New Roman" w:cs="Times New Roman"/>
          <w:noProof/>
          <w:sz w:val="28"/>
          <w:szCs w:val="24"/>
        </w:rPr>
        <w:t xml:space="preserve">chi nhánh </w:t>
      </w:r>
      <w:r w:rsidRPr="0072570C">
        <w:rPr>
          <w:rFonts w:ascii="Times New Roman" w:eastAsia="Times New Roman" w:hAnsi="Times New Roman" w:cs="Times New Roman"/>
          <w:noProof/>
          <w:sz w:val="28"/>
          <w:szCs w:val="24"/>
          <w:lang w:val="vi-VN"/>
        </w:rPr>
        <w:t xml:space="preserve">ngân hàng nước ngoài không </w:t>
      </w:r>
      <w:r w:rsidRPr="0072570C">
        <w:rPr>
          <w:rFonts w:ascii="Times New Roman" w:eastAsia="Times New Roman" w:hAnsi="Times New Roman" w:cs="Times New Roman"/>
          <w:noProof/>
          <w:sz w:val="28"/>
          <w:szCs w:val="24"/>
        </w:rPr>
        <w:t xml:space="preserve">được </w:t>
      </w:r>
      <w:r w:rsidRPr="0072570C">
        <w:rPr>
          <w:rFonts w:ascii="Times New Roman" w:eastAsia="Times New Roman" w:hAnsi="Times New Roman" w:cs="Times New Roman"/>
          <w:noProof/>
          <w:sz w:val="28"/>
          <w:szCs w:val="24"/>
          <w:lang w:val="vi-VN"/>
        </w:rPr>
        <w:t>hoàn thành</w:t>
      </w:r>
      <w:r w:rsidRPr="0072570C">
        <w:rPr>
          <w:rFonts w:ascii="Times New Roman" w:eastAsia="Times New Roman" w:hAnsi="Times New Roman" w:cs="Times New Roman"/>
          <w:noProof/>
          <w:sz w:val="28"/>
          <w:szCs w:val="24"/>
        </w:rPr>
        <w:t xml:space="preserve"> thì</w:t>
      </w:r>
      <w:r w:rsidRPr="0072570C">
        <w:rPr>
          <w:rFonts w:ascii="Times New Roman" w:eastAsia="Times New Roman" w:hAnsi="Times New Roman" w:cs="Times New Roman"/>
          <w:noProof/>
          <w:sz w:val="28"/>
          <w:szCs w:val="24"/>
          <w:lang w:val="vi-VN"/>
        </w:rPr>
        <w:t xml:space="preserve"> văn bản của Ngân hàng Nhà nước chấp thuận dự kiến nhân sự của tổ chức tín dụng, chi nhánh ngân hàng nước ngoài đương nhiên hết hiệu lực.</w:t>
      </w:r>
    </w:p>
    <w:p w:rsidR="0072570C" w:rsidRPr="0072570C" w:rsidRDefault="0072570C" w:rsidP="0072570C">
      <w:pPr>
        <w:spacing w:before="100" w:after="100" w:line="288" w:lineRule="auto"/>
        <w:ind w:right="45"/>
        <w:jc w:val="center"/>
        <w:rPr>
          <w:rFonts w:ascii="Times New Roman" w:eastAsia="Times New Roman" w:hAnsi="Times New Roman" w:cs="Times New Roman"/>
          <w:b/>
          <w:noProof/>
          <w:sz w:val="26"/>
          <w:szCs w:val="26"/>
          <w:lang w:val="vi-VN"/>
        </w:rPr>
      </w:pPr>
      <w:r w:rsidRPr="0072570C">
        <w:rPr>
          <w:rFonts w:ascii="Times New Roman" w:eastAsia="Times New Roman" w:hAnsi="Times New Roman" w:cs="Times New Roman"/>
          <w:b/>
          <w:noProof/>
          <w:sz w:val="28"/>
          <w:szCs w:val="28"/>
          <w:lang w:val="vi-VN"/>
        </w:rPr>
        <w:t>Chương II</w:t>
      </w:r>
    </w:p>
    <w:p w:rsidR="0072570C" w:rsidRPr="0072570C" w:rsidRDefault="0072570C" w:rsidP="0072570C">
      <w:pPr>
        <w:spacing w:before="100" w:after="100" w:line="288" w:lineRule="auto"/>
        <w:ind w:right="45"/>
        <w:jc w:val="center"/>
        <w:rPr>
          <w:rFonts w:ascii="Times New Roman" w:eastAsia="Times New Roman" w:hAnsi="Times New Roman" w:cs="Times New Roman"/>
          <w:b/>
          <w:noProof/>
          <w:sz w:val="12"/>
          <w:szCs w:val="26"/>
          <w:lang w:val="vi-VN"/>
        </w:rPr>
      </w:pPr>
      <w:r w:rsidRPr="0072570C">
        <w:rPr>
          <w:rFonts w:ascii="Times New Roman" w:eastAsia="Times New Roman" w:hAnsi="Times New Roman" w:cs="Times New Roman"/>
          <w:b/>
          <w:noProof/>
          <w:sz w:val="26"/>
          <w:szCs w:val="26"/>
          <w:lang w:val="vi-VN"/>
        </w:rPr>
        <w:t>THỦ TỤC, HỒ SƠ CHẤP THUẬN DANH SÁCH DỰ KIẾN NHÂN SỰ CỦA TỔ CHỨC TÍN DỤNG, CHI NHÁNH NGÂN HÀNG NƯỚC NGOÀI</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bCs/>
          <w:noProof/>
          <w:sz w:val="28"/>
          <w:szCs w:val="28"/>
          <w:lang w:val="vi-VN"/>
        </w:rPr>
        <w:t xml:space="preserve">Điều 6. </w:t>
      </w:r>
      <w:r w:rsidRPr="0072570C">
        <w:rPr>
          <w:rFonts w:ascii="Times New Roman" w:eastAsia="Times New Roman" w:hAnsi="Times New Roman" w:cs="Times New Roman"/>
          <w:b/>
          <w:noProof/>
          <w:sz w:val="28"/>
          <w:szCs w:val="28"/>
          <w:lang w:val="vi-VN"/>
        </w:rPr>
        <w:t>Hồ sơ đề nghị chấp thuận danh sách dự kiến nhân sự của tổ chức tín dụng</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Văn bản của tổ chức tín dụng đề nghị Ngân hàng Nhà nước chấp thuận danh sách dự kiến nhân sự, trong đó tối thiểu phải có các nội dung sau:</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Lý do của việc bầu, bổ nhiệm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Danh sách dự kiến nhân sự, trong đó nêu rõ: họ và tên, chức danh, đơn vị công tác hiện tại; chức danh dự kiến được bầu, bổ nhiệm tại tổ chức tín dụng;</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 Cơ cấu, danh sách các thành viên của Hội đồng quản trị, Hội đồng thành viên, Ban kiểm soát hiện tại và dự kiến sau khi bầu, bổ nhiệm của tổ chức tín dụng (trường hợp dự kiến nhân sự bầu, bổ nhiệm vào Hội đồng quản trị, Hội đồng thành viên, Ban kiểm soát), trong đó:</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 Đối với tổ chức tín dụng là công ty cổ phần: nêu rõ số lượng thành viên Hội đồng quản trị, số lượng thành viên độc lập, thành viên không phải là người điều hành, số lượng thành viên là người có liên quan theo quy định tại khoản 2 Điều 62 Luật Các tổ chức tín dụng; số lượng thành viên Ban kiểm soát, số lượng thành viên chuyên trách của Ban kiểm soát;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(ii) Đối với tổ chức tín dụng là công ty trách nhiệm hữu hạn: nêu rõ số lượng thành viên Hội đồng thành viên, số lượng thành viên Ban kiểm soát, số lượng thành viên chuyên trách của Ban kiểm soát.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d) Đánh giá về việc nhân sự dự kiến bầu, bổ nhiệm đảm bảo đủ điều kiện, tiêu chuẩn theo quy định tại Luật Các tổ chức tín dụng và các quy định của pháp luật có liên quan, trong đó đánh giá cụ thể việc đáp ứng đối với từng điều kiện.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Văn bản thông qua danh sách dự kiến nhân sự của tổ chức tín dụng (đối với Hội đồng quản trị, Hội đồng thành viên, Ban kiểm soát phải nêu rõ nhiệm kỳ), cụ thể:</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a)  Đối với tổ chức tín dụng là công ty cổ phần: Nghị quyết của Hội đồng quản trị;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Đối với tổ chức tín dụng là công ty trách nhiệm hữu hạn một thành viên: Văn bản của người đại diện có thẩm quyền của Chủ sở hữu;</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 Đối với tổ chức tín dụng là công ty trách nhiệm hữu hạn hai thành viên trở lên: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 Trường hợp dự kiến bổ nhiệm thành viên Hội đồng thành viên, thành viên Ban kiểm soát: Văn bản của người đại diện có thẩm quyền của các thành viên góp vốn;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(ii) Trường hợp dự kiến bổ nhiệm Tổng Giám đốc (Giám đốc): Nghị quyết của Hội đồng thành viên.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3. Lý lịch cá nhân của nhân sự dự kiến bầu, bổ nhiệm theo mẫu Phụ lục số 01 đính kèm</w:t>
      </w:r>
      <w:r w:rsidRPr="0072570C">
        <w:rPr>
          <w:rFonts w:ascii="Times New Roman" w:eastAsia="Times New Roman" w:hAnsi="Times New Roman" w:cs="Times New Roman"/>
          <w:noProof/>
          <w:sz w:val="28"/>
          <w:szCs w:val="28"/>
        </w:rPr>
        <w:t xml:space="preserve"> Thông tư này</w:t>
      </w:r>
      <w:r w:rsidRPr="0072570C">
        <w:rPr>
          <w:rFonts w:ascii="Times New Roman" w:eastAsia="Times New Roman" w:hAnsi="Times New Roman" w:cs="Times New Roman"/>
          <w:noProof/>
          <w:sz w:val="28"/>
          <w:szCs w:val="28"/>
          <w:lang w:val="vi-VN"/>
        </w:rPr>
        <w:t>.</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4. Phiếu lý lịch tư pháp của nhân sự dự kiến bầu, bổ nhiệm:</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Trường hợp nhân sự dự kiến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Trường hợp nhân sự dự kiến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Phiếu lý lịch tư pháp hoặc văn bản có giá trị tương đương phải được cơ quan có thẩm quyền cấp trước thời điểm tổ chức tín dụng nộp hồ sơ đề nghị chấp thuận danh sách dự kiến nhân sự không quá 06 tháng.</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rPr>
      </w:pPr>
      <w:r w:rsidRPr="0072570C">
        <w:rPr>
          <w:rFonts w:ascii="Times New Roman" w:eastAsia="Times New Roman" w:hAnsi="Times New Roman" w:cs="Times New Roman"/>
          <w:noProof/>
          <w:sz w:val="28"/>
          <w:szCs w:val="28"/>
          <w:lang w:val="vi-VN"/>
        </w:rPr>
        <w:t>5. Bản kê khai người có liên quan của nhân sự dự kiến bầu, bổ nhiệm theo mẫu Phụ lục số 02 đính kèm</w:t>
      </w:r>
      <w:r w:rsidRPr="0072570C">
        <w:rPr>
          <w:rFonts w:ascii="Times New Roman" w:eastAsia="Times New Roman" w:hAnsi="Times New Roman" w:cs="Times New Roman"/>
          <w:noProof/>
          <w:sz w:val="28"/>
          <w:szCs w:val="28"/>
        </w:rPr>
        <w:t xml:space="preserve"> Thông tư này.</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6. Bản sao các văn bằng, chứng chỉ chứng minh trình độ chuyên môn của nhân sự dự kiến bầu, bổ nhiệm, trong đó văn bằng của người có quốc tịch Việt Nam do cơ sở giáo dục nước ngoài cấp phải được Bộ Giáo dục và Đào tạo công nhận theo quy định của pháp luật có liên quan.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7. Các tài liệu chứng minh việc đáp ứng tiêu chuẩn, điều kiện đối với nhân sự dự kiến giữ chức danh thành viên Hội đồng quản trị, thành viên Hội đồng thành viên tổ chức tín dụng quy định tại điểm d khoản 1 Điều 50 Luật Các tổ chức tín dụng, cụ thể:</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a) Đối với điều kiện “có ít nhất 3 năm là người quản lý, người điều hành của tổ chức tín dụng hoặc có ít nhất 5 năm là người quản lý, người điều hành của doanh nghiệp hoạt động trong ngành tài chính, ngân hàng, kế toán, kiểm toán”: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 Bản sao Giấy chứng nhận đăng ký doanh nghiệp (đối với doanh nghiệp không phải là tổ chức tín dụng);</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(ii) Nội dung Điều lệ của tổ chức tín dụng, doanh nghiệp quy định về người quản lý, điều hành;</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(iii) Văn bản của người đại diện có thẩm quyền của đơn vị nơi nhân sự đã hoặc đang làm việc xác nhận chức vụ và thời gian đảm nhiệm chức vụ của nhân sự hoặc bản sao văn bản chứng minh chức vụ và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nhiệm chức vụ tại đơn vị của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b) Đối với điều kiện “có ít nhất 5 năm là người quản lý, người điều hành của doanh nghiệp có vốn chủ sở hữu tối thiểu bằng mức vốn pháp định đối với loại hình tổ chức tín dụng tương ứng”: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 Nội dung Điều lệ của doanh nghiệp quy định về người quản lý, điều hành;</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(ii) Bản sao các báo cáo tài chính đã được kiểm toán bởi </w:t>
      </w:r>
      <w:r w:rsidRPr="0072570C">
        <w:rPr>
          <w:rFonts w:ascii="Times New Roman" w:eastAsia="Times New Roman" w:hAnsi="Times New Roman" w:cs="Times New Roman"/>
          <w:noProof/>
          <w:sz w:val="28"/>
          <w:szCs w:val="28"/>
        </w:rPr>
        <w:t>tổ chức</w:t>
      </w:r>
      <w:r w:rsidRPr="0072570C">
        <w:rPr>
          <w:rFonts w:ascii="Times New Roman" w:eastAsia="Times New Roman" w:hAnsi="Times New Roman" w:cs="Times New Roman"/>
          <w:noProof/>
          <w:sz w:val="28"/>
          <w:szCs w:val="28"/>
          <w:lang w:val="vi-VN"/>
        </w:rPr>
        <w:t xml:space="preserve"> kiểm toán độc lập của doanh nghiệp nơi nhân sự dự kiến đã hoặc đang công tác;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(iii) Văn bản của người đại diện có thẩm quyền của doanh nghiệp nơi nhân sự đã hoặc đang làm việc xác nhận chức vụ và thời gian đảm nhiệm chức vụ của nhân sự hoặc bản sao văn bản chứng minh chức vụ và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nhiệm chức vụ tại doanh nghiệp của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c) Đối với điều kiện “có ít nhất 05 năm làm việc trực tiếp tại bộ phận nghiệp vụ về tài chính, ngân hàng, kế toán, kiểm toán”:</w:t>
      </w:r>
      <w:r w:rsidRPr="0072570C">
        <w:rPr>
          <w:rFonts w:ascii="Times New Roman" w:eastAsia="Times New Roman" w:hAnsi="Times New Roman" w:cs="Times New Roman"/>
          <w:sz w:val="28"/>
          <w:szCs w:val="28"/>
          <w:lang w:val="vi-VN"/>
        </w:rPr>
        <w:t xml:space="preserve"> </w:t>
      </w:r>
      <w:r w:rsidRPr="0072570C">
        <w:rPr>
          <w:rFonts w:ascii="Times New Roman" w:eastAsia="Times New Roman" w:hAnsi="Times New Roman" w:cs="Times New Roman"/>
          <w:noProof/>
          <w:sz w:val="28"/>
          <w:szCs w:val="28"/>
          <w:lang w:val="vi-VN"/>
        </w:rPr>
        <w:t xml:space="preserve">Văn bản của người đại diện có thẩm quyền của đơn vị nơi nhân sự đã hoặc đang làm việc xác nhận nhân sự làm việc trực tiếp tại bộ phận nghiệp vụ về tài chính, ngân hàng, kế toán, kiểm toán và thời gian nhân sự làm việc tại các bộ phận này hoặc bản sao các văn bản chứng minh bộ phận công tác,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nhận nhiệm vụ của nhân sự tại bộ phận này.</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8. Các tài liệu chứng minh việc đáp ứng tiêu chuẩn, điều kiện đối với nhân sự dự kiến giữ chức danh Tổng giám đốc (Giám đốc) tổ chức tín dụng quy định tại điểm d khoản 4 Điều 50 Luật Các tổ chức tín dụng, cụ thể:</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a) Đối với điều kiện “có ít nhất 5 năm làm người điều hành của tổ chức tín dụng”: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 Nội dung Điều lệ của tổ chức tín dụng quy định về người điều hành;</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(ii) Văn bản của người đại diện có thẩm quyền của tổ chức tín dụng nơi nhân sự đã hoặc đang làm việc xác nhận chức vụ và thời gian đảm nhiệm chức vụ của nhân sự hoặc bản sao văn bản chứng minh chức vụ và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nhiệm chức vụ tại tổ chức tín dụng của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b) Đối với điều kiện “có ít nhất 5 năm là Tổng giám đốc (Giám đốc), Phó Tổng giám đốc (Phó giám đốc) doanh nghiệp có vốn chủ sở hữu tối thiểu bằng mức vốn pháp định đối với loại hình tổ chức tín dụng tương ứng và có ít nhất 5 năm làm việc trực tiếp trong lĩnh vực tài chính, ngân hàng, kế toán, kiểm toán”: </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 Bản sao các báo cáo tài chính đã được kiểm toán bởi </w:t>
      </w:r>
      <w:r w:rsidRPr="0072570C">
        <w:rPr>
          <w:rFonts w:ascii="Times New Roman" w:eastAsia="Times New Roman" w:hAnsi="Times New Roman" w:cs="Times New Roman"/>
          <w:noProof/>
          <w:sz w:val="28"/>
          <w:szCs w:val="28"/>
        </w:rPr>
        <w:t>tổ chức</w:t>
      </w:r>
      <w:r w:rsidRPr="0072570C">
        <w:rPr>
          <w:rFonts w:ascii="Times New Roman" w:eastAsia="Times New Roman" w:hAnsi="Times New Roman" w:cs="Times New Roman"/>
          <w:noProof/>
          <w:sz w:val="28"/>
          <w:szCs w:val="28"/>
          <w:lang w:val="vi-VN"/>
        </w:rPr>
        <w:t xml:space="preserve"> kiểm toán độc lập của doanh nghiệp nơi nhân sự dự kiến đã hoặc đang giữ chức danh Tổng giám đốc (Giám đốc), Phó Tổng giám đốc (Phó giám đốc);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(ii) Văn bản của người đại diện có thẩm quyền của doanh nghiệp nơi nhân sự đã hoặc đang làm việc xác nhận chức vụ và thời gian đảm nhiệm chức vụ của nhân sự hoặc bản sao văn bản chứng minh chức vụ và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nhiệm chức vụ tại doanh nghiệp của nhân sự;</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(i</w:t>
      </w:r>
      <w:r w:rsidRPr="0072570C">
        <w:rPr>
          <w:rFonts w:ascii="Times New Roman" w:eastAsia="Times New Roman" w:hAnsi="Times New Roman" w:cs="Times New Roman"/>
          <w:noProof/>
          <w:sz w:val="28"/>
          <w:szCs w:val="28"/>
        </w:rPr>
        <w:t>ii</w:t>
      </w:r>
      <w:r w:rsidRPr="0072570C">
        <w:rPr>
          <w:rFonts w:ascii="Times New Roman" w:eastAsia="Times New Roman" w:hAnsi="Times New Roman" w:cs="Times New Roman"/>
          <w:noProof/>
          <w:sz w:val="28"/>
          <w:szCs w:val="28"/>
          <w:lang w:val="vi-VN"/>
        </w:rPr>
        <w:t xml:space="preserve">)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nhận nhiệm vụ của nhân sự tại lĩnh vực này.</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 Đối với điều kiện “có ít nhất 10 năm làm việc trực tiếp trong lĩnh vực tài chính, ngân hàng, kế toán, kiểm toán”:</w:t>
      </w:r>
      <w:r w:rsidRPr="0072570C">
        <w:rPr>
          <w:rFonts w:ascii="Times New Roman" w:eastAsia="Times New Roman" w:hAnsi="Times New Roman" w:cs="Times New Roman"/>
          <w:sz w:val="28"/>
          <w:szCs w:val="28"/>
          <w:lang w:val="vi-VN"/>
        </w:rPr>
        <w:t xml:space="preserve"> </w:t>
      </w:r>
      <w:r w:rsidRPr="0072570C">
        <w:rPr>
          <w:rFonts w:ascii="Times New Roman" w:eastAsia="Times New Roman" w:hAnsi="Times New Roman" w:cs="Times New Roman"/>
          <w:noProof/>
          <w:sz w:val="28"/>
          <w:szCs w:val="28"/>
          <w:lang w:val="vi-VN"/>
        </w:rPr>
        <w:t xml:space="preserve">Văn bản của người đại diện có thẩm quyền của đơn vị nơi nhân sự đã hoặc đang làm việc xác nhận nhân sự làm việc trực tiếp </w:t>
      </w:r>
      <w:r w:rsidRPr="0072570C">
        <w:rPr>
          <w:rFonts w:ascii="Times New Roman" w:eastAsia="Times New Roman" w:hAnsi="Times New Roman" w:cs="Times New Roman"/>
          <w:noProof/>
          <w:sz w:val="28"/>
          <w:szCs w:val="28"/>
          <w:lang w:val="vi-VN"/>
        </w:rPr>
        <w:lastRenderedPageBreak/>
        <w:t xml:space="preserve">trong lĩnh vực tài chính, ngân hàng, kế toán, kiểm toán và thời gian nhân sự làm việc tại lĩnh vực này hoặc bản sao các văn bản chứng minh lĩnh vực công tác,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nhận nhiệm vụ của nhân sự tại lĩnh vực này.</w:t>
      </w:r>
    </w:p>
    <w:p w:rsidR="0072570C" w:rsidRPr="0072570C" w:rsidRDefault="0072570C" w:rsidP="0072570C">
      <w:pPr>
        <w:spacing w:before="100" w:after="100" w:line="288" w:lineRule="auto"/>
        <w:ind w:right="43"/>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 </w:t>
      </w:r>
      <w:r w:rsidRPr="0072570C">
        <w:rPr>
          <w:rFonts w:ascii="Times New Roman" w:eastAsia="Times New Roman" w:hAnsi="Times New Roman" w:cs="Times New Roman"/>
          <w:noProof/>
          <w:sz w:val="28"/>
          <w:szCs w:val="28"/>
          <w:lang w:val="vi-VN"/>
        </w:rPr>
        <w:tab/>
        <w:t xml:space="preserve">9. Tài liệu chứng minh việc đáp ứng tiêu chuẩn, điều kiện “có ít nhất 03 năm làm việc trực tiếp trong lĩnh vực ngân hàng, tài chính, kế toán hoặc kiểm toán” đối với nhân sự dự kiến giữ chức danh thành viên Ban kiểm soát của tổ chức tín dụng quy định tại điểm c khoản 3 Điều 50 Luật Các tổ chức tín dụng: Văn bản của người đại diện có thẩm quyền của đơn vị nơi nhân sự đã hoặc đang làm việc xác nhận nhân sự làm việc trực tiếp trong lĩnh vực ngân hàng, tài chính, kế toán hoặc kiểm toán và thời gian nhân sự làm việc tại lĩnh vực này hoặc bản sao các văn bản chứng minh lĩnh vực công tác, thời </w:t>
      </w:r>
      <w:r w:rsidRPr="0072570C">
        <w:rPr>
          <w:rFonts w:ascii="Times New Roman" w:eastAsia="Times New Roman" w:hAnsi="Times New Roman" w:cs="Times New Roman"/>
          <w:noProof/>
          <w:sz w:val="28"/>
          <w:szCs w:val="28"/>
        </w:rPr>
        <w:t>gian</w:t>
      </w:r>
      <w:r w:rsidRPr="0072570C">
        <w:rPr>
          <w:rFonts w:ascii="Times New Roman" w:eastAsia="Times New Roman" w:hAnsi="Times New Roman" w:cs="Times New Roman"/>
          <w:noProof/>
          <w:sz w:val="28"/>
          <w:szCs w:val="28"/>
          <w:lang w:val="vi-VN"/>
        </w:rPr>
        <w:t xml:space="preserve"> đảm nhận nhiệm vụ của nhân sự tại lĩnh vực này.</w:t>
      </w:r>
    </w:p>
    <w:p w:rsidR="0072570C" w:rsidRPr="0072570C" w:rsidRDefault="0072570C" w:rsidP="0072570C">
      <w:pPr>
        <w:spacing w:before="100" w:after="100" w:line="288" w:lineRule="auto"/>
        <w:ind w:right="43"/>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b/>
        <w:t>10. Đối với nhân sự dự kiến bầu, bổ nhiệm thuộc trường hợp quy định tại điểm đ, e khoản 2 Điều 33 Luật Các tổ chức tín dụng: Văn bản của cơ quan có thẩm quyền cử nhân sự dự kiến làm đại diện quản lý phần vốn góp của Nhà nước tại tổ chức tín dụng.</w:t>
      </w:r>
    </w:p>
    <w:p w:rsidR="0072570C" w:rsidRPr="0072570C" w:rsidRDefault="0072570C" w:rsidP="0072570C">
      <w:pPr>
        <w:spacing w:before="100" w:after="100" w:line="288" w:lineRule="auto"/>
        <w:ind w:right="43"/>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noProof/>
          <w:sz w:val="28"/>
          <w:szCs w:val="28"/>
          <w:lang w:val="vi-VN"/>
        </w:rPr>
        <w:tab/>
        <w:t xml:space="preserve"> </w:t>
      </w:r>
      <w:r w:rsidRPr="0072570C">
        <w:rPr>
          <w:rFonts w:ascii="Times New Roman" w:eastAsia="Times New Roman" w:hAnsi="Times New Roman" w:cs="Times New Roman"/>
          <w:b/>
          <w:noProof/>
          <w:sz w:val="28"/>
          <w:szCs w:val="28"/>
          <w:lang w:val="vi-VN"/>
        </w:rPr>
        <w:t xml:space="preserve">Điều 7. Hồ sơ đề nghị chấp thuận dự kiến </w:t>
      </w:r>
      <w:r w:rsidRPr="0072570C">
        <w:rPr>
          <w:rFonts w:ascii="Times New Roman" w:eastAsia="Times New Roman" w:hAnsi="Times New Roman" w:cs="Times New Roman"/>
          <w:b/>
          <w:noProof/>
          <w:sz w:val="28"/>
          <w:szCs w:val="28"/>
        </w:rPr>
        <w:t>bổ nhiệm Tổng Giám đốc (Giám đốc)</w:t>
      </w:r>
      <w:r w:rsidRPr="0072570C">
        <w:rPr>
          <w:rFonts w:ascii="Times New Roman" w:eastAsia="Times New Roman" w:hAnsi="Times New Roman" w:cs="Times New Roman"/>
          <w:b/>
          <w:noProof/>
          <w:sz w:val="28"/>
          <w:szCs w:val="28"/>
          <w:lang w:val="vi-VN"/>
        </w:rPr>
        <w:t xml:space="preserve"> của chi nhánh ngân hàng nước ngoài</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Văn bản của chi nhánh ngân hàng nước ngoài đề nghị Ngân hàng Nhà nước chấp thuận dự kiến bổ nhiệm Tổng Giám đốc (Giám đốc) chi nhánh tại Việt Nam, trong đó tối thiểu phải có các nội dung sau:</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Lý do của việc bổ nhiệm Tổng Giám đốc (Giám đốc) của chi nhánh ngân hàng nước ngoài;</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Họ và tên, chức danh và đơn vị công tác hiện tại, số hộ chiếu</w:t>
      </w:r>
      <w:r w:rsidRPr="0072570C">
        <w:rPr>
          <w:rFonts w:ascii="Times New Roman" w:eastAsia="Times New Roman" w:hAnsi="Times New Roman" w:cs="Times New Roman"/>
          <w:noProof/>
          <w:sz w:val="28"/>
          <w:szCs w:val="28"/>
        </w:rPr>
        <w:t xml:space="preserve"> hoặc </w:t>
      </w:r>
      <w:r w:rsidRPr="0072570C">
        <w:rPr>
          <w:rFonts w:ascii="Times New Roman" w:eastAsia="Times New Roman" w:hAnsi="Times New Roman" w:cs="Times New Roman"/>
          <w:noProof/>
          <w:sz w:val="28"/>
          <w:szCs w:val="28"/>
          <w:lang w:val="vi-VN"/>
        </w:rPr>
        <w:t>số chứng minh nhân dân</w:t>
      </w:r>
      <w:r w:rsidRPr="0072570C">
        <w:rPr>
          <w:rFonts w:ascii="Times New Roman" w:eastAsia="Times New Roman" w:hAnsi="Times New Roman" w:cs="Times New Roman"/>
          <w:noProof/>
          <w:sz w:val="28"/>
          <w:szCs w:val="28"/>
        </w:rPr>
        <w:t xml:space="preserve"> hoặc </w:t>
      </w:r>
      <w:r w:rsidRPr="0072570C">
        <w:rPr>
          <w:rFonts w:ascii="Times New Roman" w:eastAsia="Times New Roman" w:hAnsi="Times New Roman" w:cs="Times New Roman"/>
          <w:noProof/>
          <w:sz w:val="28"/>
          <w:szCs w:val="28"/>
          <w:lang w:val="vi-VN"/>
        </w:rPr>
        <w:t>số căn cước công dân của Tổng giám đốc (Giám đốc) dự kiến được bổ nhiệm;</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 Đánh giá về việc Tổng giám đốc (Giám đốc) dự kiến được bổ nhiệm đảm bảo đủ điều kiện, tiêu chuẩn theo quy định tại Luật Các tổ chức tín dụng và các quy định của pháp luật có liên quan, trong đó đánh giá cụ thể việc đáp ứng đối với từng điều kiện.</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Văn bản của đại diện có thẩm quyền của ngân hàng nước ngoài thông qua việc dự kiến bổ nhiệm Tổng Giám đốc (Giám đốc) chi nhánh ngân hàng nước ngoài tại Việt Nam.</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3. Các hồ sơ, tài liệu quy định tại khoản </w:t>
      </w:r>
      <w:r w:rsidRPr="0072570C">
        <w:rPr>
          <w:rFonts w:ascii="Times New Roman" w:eastAsia="Times New Roman" w:hAnsi="Times New Roman" w:cs="Times New Roman"/>
          <w:noProof/>
          <w:sz w:val="28"/>
          <w:szCs w:val="28"/>
        </w:rPr>
        <w:t xml:space="preserve">3, </w:t>
      </w:r>
      <w:r w:rsidRPr="0072570C">
        <w:rPr>
          <w:rFonts w:ascii="Times New Roman" w:eastAsia="Times New Roman" w:hAnsi="Times New Roman" w:cs="Times New Roman"/>
          <w:noProof/>
          <w:sz w:val="28"/>
          <w:szCs w:val="28"/>
          <w:lang w:val="vi-VN"/>
        </w:rPr>
        <w:t>4, 5, 6, 8 Điều 6 Thông tư này.</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8. Thủ tục chấp thuận danh sách dự kiến nhân sự của tổ chức tín dụng, chi nhánh ngân hàng nước ngoài</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1. Tổ chức tín dụng, chi nhánh ngân hàng nước ngoài lập 01 bộ hồ sơ theo quy định tại Điều 6, Điều 7 Thông tư này gửi Ngân hàng Nhà nước (Cơ quan Thanh tra, giám sát ngân hàng). Trường hợp hồ sơ chưa đầy đủ, hợp lệ, trong thời hạn 07 ngày làm việc kể từ ngày nhận được hồ sơ, Ngân hàng Nhà nước (Cơ quan Thanh tra, giám sát ngân hàng) có văn bản yêu cầu tổ chức tín dụng, chi nhánh ngân hàng nước ngoài bổ sung hồ sơ.</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Tổ chức tín dụng, chi nhánh ngân hàng nước ngoài bổ sung, hoàn chỉnh hồ sơ theo yêu cầu của Ngân hàng Nhà nước trong thời hạn tối đa 45 ngày làm việc kể từ ngày Ngân hàng Nhà nước (Cơ quan Thanh tra, giám sát ngân hàng) có văn bản yêu cầu bổ sung hồ sơ. Quá thời hạn này, tổ chức tín dụng, chi nhánh ngân hàng nước ngoài phải nộp lại bộ hồ sơ theo quy định tại Thông tư này để Ngân hàng Nhà nước xem xét, chấp thuận.</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noProof/>
          <w:sz w:val="16"/>
          <w:szCs w:val="24"/>
        </w:rPr>
      </w:pPr>
      <w:r w:rsidRPr="0072570C">
        <w:rPr>
          <w:rFonts w:ascii="Times New Roman" w:eastAsia="Times New Roman" w:hAnsi="Times New Roman" w:cs="Times New Roman"/>
          <w:noProof/>
          <w:sz w:val="28"/>
          <w:szCs w:val="28"/>
          <w:lang w:val="vi-VN"/>
        </w:rPr>
        <w:t>3. Trong thời hạn 30 ngày làm việc kể từ ngày nhận đầy đủ hồ sơ theo quy định tại Điều 6, Điều 7 Thông tư này, Ngân hàng Nhà nước có văn bản chấp thuận hoặc không chấp thuận dự kiến nhân sự của tổ chức tín dụng, chi nhánh ngân hàng nước ngoài. Trường hợp không chấp thuận, văn bản trả lời tổ chức tín dụng, chi nhánh ngân hàng nước ngoài nêu rõ lý do.</w:t>
      </w:r>
    </w:p>
    <w:p w:rsidR="0072570C" w:rsidRPr="0072570C" w:rsidRDefault="0072570C" w:rsidP="0072570C">
      <w:pPr>
        <w:spacing w:before="60" w:after="60" w:line="240" w:lineRule="auto"/>
        <w:ind w:right="21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Chương III</w:t>
      </w:r>
    </w:p>
    <w:p w:rsidR="0072570C" w:rsidRPr="0072570C" w:rsidRDefault="0072570C" w:rsidP="0072570C">
      <w:pPr>
        <w:spacing w:before="60" w:after="60" w:line="240" w:lineRule="auto"/>
        <w:ind w:right="215"/>
        <w:jc w:val="center"/>
        <w:rPr>
          <w:rFonts w:ascii="Times New Roman" w:eastAsia="Times New Roman" w:hAnsi="Times New Roman" w:cs="Times New Roman"/>
          <w:b/>
          <w:noProof/>
          <w:sz w:val="26"/>
          <w:szCs w:val="26"/>
          <w:lang w:val="vi-VN"/>
        </w:rPr>
      </w:pPr>
      <w:r w:rsidRPr="0072570C">
        <w:rPr>
          <w:rFonts w:ascii="Times New Roman" w:eastAsia="Times New Roman" w:hAnsi="Times New Roman" w:cs="Times New Roman"/>
          <w:b/>
          <w:noProof/>
          <w:sz w:val="26"/>
          <w:szCs w:val="26"/>
          <w:lang w:val="vi-VN"/>
        </w:rPr>
        <w:t xml:space="preserve">        TRÁCH NHIỆM CỦA CÁC ĐƠN VỊ LIÊN QUAN</w:t>
      </w:r>
    </w:p>
    <w:p w:rsidR="0072570C" w:rsidRPr="0072570C" w:rsidRDefault="0072570C" w:rsidP="0072570C">
      <w:pPr>
        <w:spacing w:before="60" w:after="60" w:line="240" w:lineRule="auto"/>
        <w:ind w:right="215"/>
        <w:jc w:val="center"/>
        <w:rPr>
          <w:rFonts w:ascii="Times New Roman" w:eastAsia="Times New Roman" w:hAnsi="Times New Roman" w:cs="Times New Roman"/>
          <w:b/>
          <w:noProof/>
          <w:sz w:val="6"/>
          <w:szCs w:val="26"/>
        </w:rPr>
      </w:pPr>
    </w:p>
    <w:p w:rsidR="0072570C" w:rsidRPr="0072570C" w:rsidRDefault="0072570C" w:rsidP="0072570C">
      <w:pPr>
        <w:spacing w:before="60" w:after="60" w:line="240" w:lineRule="auto"/>
        <w:ind w:right="21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Mục 1</w:t>
      </w:r>
    </w:p>
    <w:p w:rsidR="0072570C" w:rsidRPr="0072570C" w:rsidRDefault="0072570C" w:rsidP="0072570C">
      <w:pPr>
        <w:spacing w:before="60" w:after="60" w:line="288" w:lineRule="auto"/>
        <w:ind w:right="215" w:firstLine="720"/>
        <w:jc w:val="center"/>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4"/>
          <w:szCs w:val="24"/>
          <w:lang w:val="vi-VN"/>
        </w:rPr>
        <w:t>TRÁCH NHIỆM CỦA TỔ CHỨC TÍN DỤNG,</w:t>
      </w:r>
    </w:p>
    <w:p w:rsidR="0072570C" w:rsidRPr="0072570C" w:rsidRDefault="0072570C" w:rsidP="0072570C">
      <w:pPr>
        <w:spacing w:before="60" w:after="60" w:line="288" w:lineRule="auto"/>
        <w:ind w:right="215" w:firstLine="720"/>
        <w:jc w:val="center"/>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4"/>
          <w:szCs w:val="24"/>
          <w:lang w:val="vi-VN"/>
        </w:rPr>
        <w:t xml:space="preserve"> CHI NHÁNH NGÂN HÀNG NƯỚC NGOÀI</w:t>
      </w:r>
    </w:p>
    <w:p w:rsidR="0072570C" w:rsidRPr="0072570C" w:rsidRDefault="0072570C" w:rsidP="0072570C">
      <w:pPr>
        <w:spacing w:before="60" w:after="60" w:line="288" w:lineRule="auto"/>
        <w:ind w:right="43" w:firstLine="720"/>
        <w:jc w:val="both"/>
        <w:rPr>
          <w:rFonts w:ascii="Times New Roman" w:eastAsia="Times New Roman" w:hAnsi="Times New Roman" w:cs="Times New Roman"/>
          <w:b/>
          <w:noProof/>
          <w:sz w:val="10"/>
          <w:szCs w:val="28"/>
          <w:lang w:val="vi-VN"/>
        </w:rPr>
      </w:pPr>
    </w:p>
    <w:p w:rsidR="0072570C" w:rsidRPr="0072570C" w:rsidRDefault="0072570C" w:rsidP="0072570C">
      <w:pPr>
        <w:spacing w:before="60" w:after="0" w:line="276" w:lineRule="auto"/>
        <w:ind w:right="45"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9. Thực hiện việc rà soát tiêu chuẩn, điều kiện nhân sự</w:t>
      </w:r>
    </w:p>
    <w:p w:rsidR="0072570C" w:rsidRPr="0072570C" w:rsidRDefault="0072570C" w:rsidP="0072570C">
      <w:pPr>
        <w:spacing w:before="60" w:after="0" w:line="276" w:lineRule="auto"/>
        <w:ind w:right="45" w:firstLine="720"/>
        <w:jc w:val="both"/>
        <w:rPr>
          <w:rFonts w:ascii="Times New Roman" w:eastAsia="Times New Roman" w:hAnsi="Times New Roman" w:cs="Times New Roman"/>
          <w:noProof/>
          <w:sz w:val="28"/>
          <w:szCs w:val="28"/>
        </w:rPr>
      </w:pPr>
      <w:r w:rsidRPr="0072570C">
        <w:rPr>
          <w:rFonts w:ascii="Times New Roman" w:eastAsia="Times New Roman" w:hAnsi="Times New Roman" w:cs="Times New Roman"/>
          <w:noProof/>
          <w:sz w:val="28"/>
          <w:szCs w:val="28"/>
          <w:lang w:val="vi-VN"/>
        </w:rPr>
        <w:t xml:space="preserve">Tổ chức tín dụng, chi nhánh ngân hàng nước ngoài phải rà soát, đánh giá về việc nhân sự dự kiến đáp ứng đầy đủ tiêu chuẩn, điều kiện theo quy định của </w:t>
      </w:r>
    </w:p>
    <w:p w:rsidR="0072570C" w:rsidRPr="0072570C" w:rsidRDefault="0072570C" w:rsidP="0072570C">
      <w:pPr>
        <w:spacing w:before="120" w:after="120" w:line="300" w:lineRule="auto"/>
        <w:ind w:right="45"/>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pháp luật và chịu trách nhiệm trước pháp luật về tính đầy đủ, chính xác, trung thực của các hồ sơ, tài liệu cung cấp cho Ngân hàng Nhà nước.</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10. Thực hiện thủ tục liên quan đến việc bầu, bổ nhiệm nhân sự</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Lập hồ sơ, bổ sung hoàn chỉnh hồ sơ theo yêu cầu và thực hiện thủ tục đề nghị Ngân hàng Nhà nước chấp thuận danh sách dự kiến nhân sự theo quy định tại Thông tư này và quy định của pháp luật có liên quan.</w:t>
      </w:r>
    </w:p>
    <w:p w:rsidR="0072570C" w:rsidRPr="0072570C" w:rsidRDefault="0072570C" w:rsidP="0072570C">
      <w:pPr>
        <w:autoSpaceDE w:val="0"/>
        <w:autoSpaceDN w:val="0"/>
        <w:adjustRightInd w:val="0"/>
        <w:spacing w:before="120" w:after="120" w:line="300" w:lineRule="auto"/>
        <w:ind w:firstLine="720"/>
        <w:jc w:val="both"/>
        <w:outlineLvl w:val="0"/>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Thực hiện việc bầu, bổ nhiệm nhân sự theo đúng quy định của pháp luật và trên cơ sở danh sách dự kiến nhân sự đã được Ngân hàng Nhà nước chấp thuận.</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11. Thực hiện chế độ thông báo, báo cáo</w:t>
      </w:r>
    </w:p>
    <w:p w:rsidR="0072570C" w:rsidRPr="0072570C" w:rsidRDefault="0072570C" w:rsidP="0072570C">
      <w:pPr>
        <w:autoSpaceDE w:val="0"/>
        <w:autoSpaceDN w:val="0"/>
        <w:adjustRightInd w:val="0"/>
        <w:spacing w:before="120" w:after="120" w:line="300" w:lineRule="auto"/>
        <w:ind w:right="43" w:firstLine="720"/>
        <w:jc w:val="both"/>
        <w:outlineLvl w:val="0"/>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1. Kịp thời thông báo bằng văn bản cho Ngân hàng Nhà nước (Cơ quan thanh tra, giám sát ngân hàng):</w:t>
      </w:r>
    </w:p>
    <w:p w:rsidR="0072570C" w:rsidRPr="0072570C" w:rsidRDefault="0072570C" w:rsidP="0072570C">
      <w:pPr>
        <w:autoSpaceDE w:val="0"/>
        <w:autoSpaceDN w:val="0"/>
        <w:adjustRightInd w:val="0"/>
        <w:spacing w:before="120" w:after="120" w:line="300" w:lineRule="auto"/>
        <w:ind w:right="43" w:firstLine="720"/>
        <w:jc w:val="both"/>
        <w:outlineLvl w:val="0"/>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Những thay đổi liên quan đến việc đáp ứng tiêu chuẩn, điều kiện của nhân sự dự kiến được bầu, bổ nhiệm phát sinh trong quá trình Ngân hàng Nhà nước xem xét hồ sơ chấp thuận danh sách dự kiến nhân sự;</w:t>
      </w:r>
    </w:p>
    <w:p w:rsidR="0072570C" w:rsidRPr="0072570C" w:rsidRDefault="0072570C" w:rsidP="0072570C">
      <w:pPr>
        <w:autoSpaceDE w:val="0"/>
        <w:autoSpaceDN w:val="0"/>
        <w:adjustRightInd w:val="0"/>
        <w:spacing w:before="120" w:after="120" w:line="300" w:lineRule="auto"/>
        <w:ind w:right="43" w:firstLine="720"/>
        <w:jc w:val="both"/>
        <w:outlineLvl w:val="0"/>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Những thay đổi liên quan đến việc đáp ứng tiêu chuẩn, điều kiện của nhân sự dự kiến được bầu, bổ nhiệm phát sinh trong thời gian kể từ ngày Ngân hàng Nhà nước có văn bản chấp thuận danh sách dự kiến nhân sự cho đến khi nhân sự được bầu, bổ nhiệm.</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Trong thời hạn 10 ngày làm việc, kể từ ngày bầu, bổ nhiệm các chức danh Chủ tịch và thành viên Hội đồng quản trị, Chủ tịch và thành viên Hội đồng thành viên, Trưởng Ban và thành viên Ban kiểm soát, Tổng giám đốc (Giám đốc), tổ chức tín dụng, chi nhánh ngân hàng nước ngoài phải có văn bản thông báo cho Ngân hàng Nhà nước danh sách những người được bầu, bổ nhiệm theo mẫu Phụ lục số 03 đính kèm</w:t>
      </w:r>
      <w:r w:rsidRPr="0072570C">
        <w:rPr>
          <w:rFonts w:ascii="Times New Roman" w:eastAsia="Times New Roman" w:hAnsi="Times New Roman" w:cs="Times New Roman"/>
          <w:noProof/>
          <w:sz w:val="28"/>
          <w:szCs w:val="28"/>
        </w:rPr>
        <w:t xml:space="preserve"> Thông tư này</w:t>
      </w:r>
      <w:r w:rsidRPr="0072570C">
        <w:rPr>
          <w:rFonts w:ascii="Times New Roman" w:eastAsia="Times New Roman" w:hAnsi="Times New Roman" w:cs="Times New Roman"/>
          <w:noProof/>
          <w:sz w:val="28"/>
          <w:szCs w:val="28"/>
          <w:lang w:val="vi-VN"/>
        </w:rPr>
        <w:t>, cụ thể như sau:</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Đối với tổ chức tín dụng là công ty trách nhiệm hữu hạn, tổ chức tín dụng là công ty cổ phần có trụ sở chính trên địa bàn tỉnh, thành phố trực thuộc Trung ương (sau đây gọi là tỉnh, thành phố) nơi có Cục Thanh tra, giám sát ngân hàng, chi nhánh ngân hàng nước ngoài: gửi Cơ quan Thanh tra, giám sát ngân hàng;</w:t>
      </w:r>
    </w:p>
    <w:p w:rsidR="0072570C" w:rsidRPr="0072570C" w:rsidRDefault="0072570C" w:rsidP="0072570C">
      <w:pPr>
        <w:spacing w:before="120" w:after="120" w:line="300" w:lineRule="auto"/>
        <w:ind w:right="43" w:firstLine="720"/>
        <w:jc w:val="both"/>
        <w:rPr>
          <w:rFonts w:ascii="Times New Roman" w:eastAsia="Times New Roman" w:hAnsi="Times New Roman" w:cs="Times New Roman"/>
          <w:noProof/>
          <w:sz w:val="6"/>
          <w:szCs w:val="28"/>
        </w:rPr>
      </w:pPr>
      <w:r w:rsidRPr="0072570C">
        <w:rPr>
          <w:rFonts w:ascii="Times New Roman" w:eastAsia="Times New Roman" w:hAnsi="Times New Roman" w:cs="Times New Roman"/>
          <w:noProof/>
          <w:sz w:val="28"/>
          <w:szCs w:val="28"/>
          <w:lang w:val="vi-VN"/>
        </w:rPr>
        <w:t>b) Tổ chức tín dụng là công ty cổ phần có trụ sở chính trên địa bàn tỉnh, thành phố nơi không có Cục Thanh tra, giám sát ngân hàng: gửi Ngân hàng Nhà nước Chi nhánh tỉnh, thành phố nơi tổ chức tín dụng là công ty cổ phần đặt trụ sở chính, Cơ quan thanh tra, giám sát ngân hàng.</w:t>
      </w:r>
    </w:p>
    <w:p w:rsidR="0072570C" w:rsidRPr="0072570C" w:rsidRDefault="0072570C" w:rsidP="0072570C">
      <w:pPr>
        <w:spacing w:before="100" w:after="100" w:line="288" w:lineRule="auto"/>
        <w:jc w:val="center"/>
        <w:rPr>
          <w:rFonts w:ascii="Times New Roman" w:eastAsia="Times New Roman" w:hAnsi="Times New Roman" w:cs="Times New Roman"/>
          <w:b/>
          <w:sz w:val="28"/>
          <w:szCs w:val="28"/>
          <w:lang w:val="vi-VN"/>
        </w:rPr>
      </w:pPr>
      <w:r w:rsidRPr="0072570C">
        <w:rPr>
          <w:rFonts w:ascii="Times New Roman" w:eastAsia="Times New Roman" w:hAnsi="Times New Roman" w:cs="Times New Roman"/>
          <w:b/>
          <w:sz w:val="28"/>
          <w:szCs w:val="28"/>
          <w:lang w:val="vi-VN"/>
        </w:rPr>
        <w:t>Mục 2</w:t>
      </w:r>
    </w:p>
    <w:p w:rsidR="0072570C" w:rsidRPr="0072570C" w:rsidRDefault="0072570C" w:rsidP="0072570C">
      <w:pPr>
        <w:spacing w:before="100" w:after="100" w:line="288" w:lineRule="auto"/>
        <w:ind w:right="43" w:firstLine="720"/>
        <w:jc w:val="center"/>
        <w:rPr>
          <w:rFonts w:ascii="Times New Roman" w:eastAsia="Times New Roman" w:hAnsi="Times New Roman" w:cs="Times New Roman"/>
          <w:noProof/>
          <w:sz w:val="12"/>
          <w:szCs w:val="28"/>
          <w:lang w:val="vi-VN"/>
        </w:rPr>
      </w:pPr>
      <w:r w:rsidRPr="0072570C">
        <w:rPr>
          <w:rFonts w:ascii="Times New Roman" w:eastAsia="Times New Roman" w:hAnsi="Times New Roman" w:cs="Times New Roman"/>
          <w:b/>
          <w:sz w:val="24"/>
          <w:szCs w:val="24"/>
          <w:lang w:val="vi-VN"/>
        </w:rPr>
        <w:t>TRÁCH NHIỆM CỦA CÁC ĐƠN VỊ THUỘC NGÂN HÀNG NHÀ NƯỚC</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12. Trách nhiệm của Cơ quan thanh tra, giám sát ngân hàng</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Trong thời hạn 20 ngày làm việc kể từ ngày tiếp nhận đầy đủ hồ sơ của tổ chức tín dụng, chi nhánh ngân hàng nước ngoài theo quy định, Cơ quan Thanh tra, giám sát ngân hàng có trách nhiệm là đầu mối đánh giá việc đáp ứng hồ sơ, tiêu chuẩn, điều kiện của nhân sự dự kiến của tổ chức tín dụng, chi nhánh ngân hàng nước ngoài theo quy định tại Luật Các tổ chức tín dụng và Thông tư này; lấy ý kiến đơn vị liên quan; tổng hợp và trình Thống đốc Ngân hàng Nhà nước xem xét, có văn bản chấp thuận hoặc không chấp thuận dự kiến nhân sự của tổ chức tín dụng, chi nhánh ngân hàng nước ngoài.</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 xml:space="preserve">2. Tiếp nhận thông báo của tổ chức tín dụng, chi nhánh ngân hàng nước ngoài nêu tại </w:t>
      </w:r>
      <w:r w:rsidRPr="0072570C">
        <w:rPr>
          <w:rFonts w:ascii="Times New Roman" w:eastAsia="Times New Roman" w:hAnsi="Times New Roman" w:cs="Times New Roman"/>
          <w:noProof/>
          <w:sz w:val="28"/>
          <w:szCs w:val="28"/>
        </w:rPr>
        <w:t>k</w:t>
      </w:r>
      <w:r w:rsidRPr="0072570C">
        <w:rPr>
          <w:rFonts w:ascii="Times New Roman" w:eastAsia="Times New Roman" w:hAnsi="Times New Roman" w:cs="Times New Roman"/>
          <w:noProof/>
          <w:sz w:val="28"/>
          <w:szCs w:val="28"/>
          <w:lang w:val="vi-VN"/>
        </w:rPr>
        <w:t>hoản 1 Điều 11 Thông tư này; xem xét, đề xuất Thống đốc Ngân hàng Nhà nước việc đáp ứng tiêu chuẩn, điều kiện của nhân sự dự kiến hoặc biện pháp xử lý.</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3. Tiếp nhận, rà soát thông báo của tổ chức tín dụng (ngoại trừ tổ chức tín dụng là công ty cổ phần có trụ sở chính trên địa bàn tỉnh, thành phố nơi không có Cục Thanh tra, giám sát ngân hàng), chi nhánh ngân hàng nước ngoài nêu tại </w:t>
      </w:r>
      <w:r w:rsidRPr="0072570C">
        <w:rPr>
          <w:rFonts w:ascii="Times New Roman" w:eastAsia="Times New Roman" w:hAnsi="Times New Roman" w:cs="Times New Roman"/>
          <w:noProof/>
          <w:sz w:val="28"/>
          <w:szCs w:val="28"/>
        </w:rPr>
        <w:t>k</w:t>
      </w:r>
      <w:r w:rsidRPr="0072570C">
        <w:rPr>
          <w:rFonts w:ascii="Times New Roman" w:eastAsia="Times New Roman" w:hAnsi="Times New Roman" w:cs="Times New Roman"/>
          <w:noProof/>
          <w:sz w:val="28"/>
          <w:szCs w:val="28"/>
          <w:lang w:val="vi-VN"/>
        </w:rPr>
        <w:t>hoản 2 Điều 11 Thông tư này. Trường hợp phát hiện sai sót, Cơ quan Thanh tra, giám sát ngân hàng yêu cầu tổ chức tín dụng, chi nhánh ngân hàng nước ngoài xử lý hoặc đề xuất Thống đốc Ngân hàng Nhà nước biện pháp xử lý.</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13. Trách nhiệm của Ngân hàng nhà nước chi nhánh tỉnh, thành phố nơi tổ chức tín dụng là công ty cổ phần đặt trụ sở chính (trừ tỉnh, thành phố nơi có Cục Thanh tra, giám sát ngân hàng)</w:t>
      </w:r>
    </w:p>
    <w:p w:rsidR="0072570C" w:rsidRPr="0072570C" w:rsidRDefault="0072570C" w:rsidP="0072570C">
      <w:pPr>
        <w:tabs>
          <w:tab w:val="left" w:pos="720"/>
        </w:tabs>
        <w:spacing w:before="100" w:after="100" w:line="288" w:lineRule="auto"/>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Ngân hàng nhà nước chi nhánh tỉnh, thành phố có trách nhiệm tham gia ý kiến bằng văn bản theo đề nghị của Cơ quan Thanh tra, giám sát ngân hàng trong thời hạn 05 ngày làm việc kể từ ngày nhận được văn bản đề nghị.</w:t>
      </w:r>
    </w:p>
    <w:p w:rsidR="0072570C" w:rsidRPr="0072570C" w:rsidRDefault="0072570C" w:rsidP="0072570C">
      <w:pPr>
        <w:tabs>
          <w:tab w:val="left" w:pos="720"/>
        </w:tabs>
        <w:spacing w:before="100" w:after="10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noProof/>
          <w:sz w:val="28"/>
          <w:szCs w:val="28"/>
          <w:lang w:val="vi-VN"/>
        </w:rPr>
        <w:t>2. Tiếp nhận, rà soát thông báo của tổ chức tín dụng là công ty cổ phần nêu tại điểm b khoản 2 Điều 11 Thông tư này. Trường hợp phát hiện sai sót, Ngân hàng Nhà nước chi nhánh yêu cầu tổ chức tín dụng xử lý hoặc đề xuất Thống đốc Ngân hàng Nhà nước biện pháp xử lý nếu vượt thẩm quyền.</w:t>
      </w:r>
    </w:p>
    <w:p w:rsidR="0072570C" w:rsidRPr="0072570C" w:rsidRDefault="0072570C" w:rsidP="0072570C">
      <w:pPr>
        <w:spacing w:before="100" w:after="100" w:line="288" w:lineRule="auto"/>
        <w:ind w:right="43" w:firstLine="720"/>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14. Trách nhiệm của các đơn vị liên quan khác thuộc Ngân hàng Nhà nước</w:t>
      </w:r>
    </w:p>
    <w:p w:rsidR="0072570C" w:rsidRPr="0072570C" w:rsidRDefault="0072570C" w:rsidP="0072570C">
      <w:pPr>
        <w:tabs>
          <w:tab w:val="left" w:pos="1122"/>
        </w:tabs>
        <w:spacing w:before="100" w:after="100" w:line="288" w:lineRule="auto"/>
        <w:ind w:right="43" w:firstLine="749"/>
        <w:jc w:val="both"/>
        <w:rPr>
          <w:rFonts w:ascii="Times New Roman" w:eastAsia="Times New Roman" w:hAnsi="Times New Roman" w:cs="Times New Roman"/>
          <w:noProof/>
          <w:sz w:val="12"/>
          <w:szCs w:val="28"/>
          <w:lang w:val="vi-VN"/>
        </w:rPr>
      </w:pPr>
      <w:r w:rsidRPr="0072570C">
        <w:rPr>
          <w:rFonts w:ascii="Times New Roman" w:eastAsia="Times New Roman" w:hAnsi="Times New Roman" w:cs="Times New Roman"/>
          <w:noProof/>
          <w:sz w:val="28"/>
          <w:szCs w:val="28"/>
          <w:lang w:val="vi-VN"/>
        </w:rPr>
        <w:t>Các đơn vị liên quan thuộc Ngân hàng Nhà nước có trách nhiệm tham gia ý kiến bằng văn bản theo đề nghị của Cơ quan Thanh tra, giám sát ngân hàng trong thời hạn 05 ngày làm việc kể từ ngày nhận được văn bản đề nghị.</w:t>
      </w:r>
    </w:p>
    <w:p w:rsidR="0072570C" w:rsidRPr="0072570C" w:rsidRDefault="0072570C" w:rsidP="0072570C">
      <w:pPr>
        <w:tabs>
          <w:tab w:val="left" w:pos="1122"/>
        </w:tabs>
        <w:spacing w:before="100" w:after="100" w:line="288" w:lineRule="auto"/>
        <w:ind w:right="45"/>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Chương IV</w:t>
      </w:r>
      <w:bookmarkStart w:id="9" w:name="_GoBack"/>
      <w:bookmarkEnd w:id="9"/>
    </w:p>
    <w:p w:rsidR="0072570C" w:rsidRPr="0072570C" w:rsidRDefault="0072570C" w:rsidP="0072570C">
      <w:pPr>
        <w:tabs>
          <w:tab w:val="left" w:pos="1122"/>
        </w:tabs>
        <w:spacing w:before="100" w:after="100" w:line="288" w:lineRule="auto"/>
        <w:ind w:right="45"/>
        <w:jc w:val="center"/>
        <w:rPr>
          <w:rFonts w:ascii="Times New Roman" w:eastAsia="Times New Roman" w:hAnsi="Times New Roman" w:cs="Times New Roman"/>
          <w:b/>
          <w:noProof/>
          <w:sz w:val="12"/>
          <w:szCs w:val="26"/>
          <w:lang w:val="vi-VN"/>
        </w:rPr>
      </w:pPr>
      <w:r w:rsidRPr="0072570C">
        <w:rPr>
          <w:rFonts w:ascii="Times New Roman" w:eastAsia="Times New Roman" w:hAnsi="Times New Roman" w:cs="Times New Roman"/>
          <w:b/>
          <w:noProof/>
          <w:sz w:val="26"/>
          <w:szCs w:val="26"/>
          <w:lang w:val="vi-VN"/>
        </w:rPr>
        <w:t>ĐIỀU KHOẢN THI HÀNH</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Điều 15. Quy định chuyển tiếp</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Hồ sơ đề nghị chấp thuận danh sách dự kiến nhân sự của tổ chức tín dụng, chi nhánh ngân hàng nước ngoài đã được Ngân hàng Nhà nước tiếp nhận trước ngày Thông tư này có hiệu lực thi hành được tiếp tục xem xét, xử lý theo các hướng dẫn của Ngân hàng Nhà nước tại thời điểm tiếp nhận.</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rPr>
        <w:t xml:space="preserve">Điều 16. </w:t>
      </w:r>
      <w:r w:rsidRPr="0072570C">
        <w:rPr>
          <w:rFonts w:ascii="Times New Roman" w:eastAsia="Times New Roman" w:hAnsi="Times New Roman" w:cs="Times New Roman"/>
          <w:b/>
          <w:noProof/>
          <w:sz w:val="28"/>
          <w:szCs w:val="28"/>
          <w:lang w:val="vi-VN"/>
        </w:rPr>
        <w:t>Hiệu lực thi hành</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1. Thông tư này có hiệu lực thi hành kể từ ngày </w:t>
      </w:r>
      <w:r w:rsidRPr="0072570C">
        <w:rPr>
          <w:rFonts w:ascii="Times New Roman" w:eastAsia="Times New Roman" w:hAnsi="Times New Roman" w:cs="Times New Roman"/>
          <w:noProof/>
          <w:sz w:val="28"/>
          <w:szCs w:val="28"/>
        </w:rPr>
        <w:t>01</w:t>
      </w:r>
      <w:r w:rsidRPr="0072570C">
        <w:rPr>
          <w:rFonts w:ascii="Times New Roman" w:eastAsia="Times New Roman" w:hAnsi="Times New Roman" w:cs="Times New Roman"/>
          <w:noProof/>
          <w:sz w:val="28"/>
          <w:szCs w:val="28"/>
          <w:lang w:val="vi-VN"/>
        </w:rPr>
        <w:t xml:space="preserve">tháng  </w:t>
      </w:r>
      <w:r w:rsidRPr="0072570C">
        <w:rPr>
          <w:rFonts w:ascii="Times New Roman" w:eastAsia="Times New Roman" w:hAnsi="Times New Roman" w:cs="Times New Roman"/>
          <w:noProof/>
          <w:sz w:val="28"/>
          <w:szCs w:val="28"/>
        </w:rPr>
        <w:t>11</w:t>
      </w:r>
      <w:r w:rsidRPr="0072570C">
        <w:rPr>
          <w:rFonts w:ascii="Times New Roman" w:eastAsia="Times New Roman" w:hAnsi="Times New Roman" w:cs="Times New Roman"/>
          <w:noProof/>
          <w:sz w:val="28"/>
          <w:szCs w:val="28"/>
          <w:lang w:val="vi-VN"/>
        </w:rPr>
        <w:t xml:space="preserve"> năm 2018.</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2. </w:t>
      </w:r>
      <w:r w:rsidRPr="0072570C">
        <w:rPr>
          <w:rFonts w:ascii="Times New Roman" w:eastAsia="Times New Roman" w:hAnsi="Times New Roman" w:cs="Times New Roman"/>
          <w:noProof/>
          <w:sz w:val="28"/>
          <w:szCs w:val="28"/>
        </w:rPr>
        <w:t>Bãi bỏ các quy định sau đây</w:t>
      </w:r>
      <w:r w:rsidRPr="0072570C">
        <w:rPr>
          <w:rFonts w:ascii="Times New Roman" w:eastAsia="Times New Roman" w:hAnsi="Times New Roman" w:cs="Times New Roman"/>
          <w:noProof/>
          <w:sz w:val="28"/>
          <w:szCs w:val="28"/>
          <w:lang w:val="vi-VN"/>
        </w:rPr>
        <w:t>:</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a) Mục 3 Chương II</w:t>
      </w:r>
      <w:r w:rsidRPr="0072570C">
        <w:rPr>
          <w:rFonts w:ascii="Times New Roman" w:eastAsia="Times New Roman" w:hAnsi="Times New Roman" w:cs="Times New Roman"/>
          <w:noProof/>
          <w:sz w:val="28"/>
          <w:szCs w:val="28"/>
        </w:rPr>
        <w:t>;</w:t>
      </w:r>
      <w:r w:rsidRPr="0072570C">
        <w:rPr>
          <w:rFonts w:ascii="Times New Roman" w:eastAsia="Times New Roman" w:hAnsi="Times New Roman" w:cs="Times New Roman"/>
          <w:noProof/>
          <w:sz w:val="28"/>
          <w:szCs w:val="28"/>
          <w:lang w:val="vi-VN"/>
        </w:rPr>
        <w:t xml:space="preserve"> Điều 21</w:t>
      </w:r>
      <w:r w:rsidRPr="0072570C">
        <w:rPr>
          <w:rFonts w:ascii="Times New Roman" w:eastAsia="Times New Roman" w:hAnsi="Times New Roman" w:cs="Times New Roman"/>
          <w:noProof/>
          <w:sz w:val="28"/>
          <w:szCs w:val="28"/>
        </w:rPr>
        <w:t>;</w:t>
      </w:r>
      <w:r w:rsidRPr="0072570C">
        <w:rPr>
          <w:rFonts w:ascii="Times New Roman" w:eastAsia="Times New Roman" w:hAnsi="Times New Roman" w:cs="Times New Roman"/>
          <w:noProof/>
          <w:sz w:val="28"/>
          <w:szCs w:val="28"/>
          <w:lang w:val="vi-VN"/>
        </w:rPr>
        <w:t xml:space="preserve"> khoản 1, khoản 2 Điều 43; Điều 44; Quy định về chuẩn y nhân sự tại các Điều 16, 46, 47, 48, 49, 50, 51 Thông tư số 06/2010/TT-NHNN ngày 26</w:t>
      </w:r>
      <w:r w:rsidRPr="0072570C">
        <w:rPr>
          <w:rFonts w:ascii="Times New Roman" w:eastAsia="Times New Roman" w:hAnsi="Times New Roman" w:cs="Times New Roman"/>
          <w:noProof/>
          <w:sz w:val="28"/>
          <w:szCs w:val="28"/>
        </w:rPr>
        <w:t xml:space="preserve"> tháng </w:t>
      </w:r>
      <w:r w:rsidRPr="0072570C">
        <w:rPr>
          <w:rFonts w:ascii="Times New Roman" w:eastAsia="Times New Roman" w:hAnsi="Times New Roman" w:cs="Times New Roman"/>
          <w:noProof/>
          <w:sz w:val="28"/>
          <w:szCs w:val="28"/>
          <w:lang w:val="vi-VN"/>
        </w:rPr>
        <w:t>02</w:t>
      </w:r>
      <w:r w:rsidRPr="0072570C">
        <w:rPr>
          <w:rFonts w:ascii="Times New Roman" w:eastAsia="Times New Roman" w:hAnsi="Times New Roman" w:cs="Times New Roman"/>
          <w:noProof/>
          <w:sz w:val="28"/>
          <w:szCs w:val="28"/>
        </w:rPr>
        <w:t xml:space="preserve"> năm </w:t>
      </w:r>
      <w:r w:rsidRPr="0072570C">
        <w:rPr>
          <w:rFonts w:ascii="Times New Roman" w:eastAsia="Times New Roman" w:hAnsi="Times New Roman" w:cs="Times New Roman"/>
          <w:noProof/>
          <w:sz w:val="28"/>
          <w:szCs w:val="28"/>
          <w:lang w:val="vi-VN"/>
        </w:rPr>
        <w:t>2010 của Thống đốc Ngân hàng Nhà nước</w:t>
      </w:r>
      <w:bookmarkStart w:id="10" w:name="_Toc139947539"/>
      <w:bookmarkStart w:id="11" w:name="_Toc142275403"/>
      <w:r w:rsidRPr="0072570C">
        <w:rPr>
          <w:rFonts w:ascii="Times New Roman" w:eastAsia="Times New Roman" w:hAnsi="Times New Roman" w:cs="Times New Roman"/>
          <w:noProof/>
          <w:sz w:val="28"/>
          <w:szCs w:val="28"/>
          <w:lang w:val="vi-VN"/>
        </w:rPr>
        <w:t xml:space="preserve"> hướng dẫn về tổ chức, quản trị, điều hành, vốn điều lệ, chuyển nhượng cổ phần, bổ sung, sửa đổi Giấy phép, Điều lệ của ngân hàng thương mại;</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Quy định về chuẩn y nhân sự tại Mục II Phần III</w:t>
      </w:r>
      <w:r w:rsidRPr="0072570C">
        <w:rPr>
          <w:rFonts w:ascii="Times New Roman" w:eastAsia="Times New Roman" w:hAnsi="Times New Roman" w:cs="Times New Roman"/>
          <w:noProof/>
          <w:sz w:val="28"/>
          <w:szCs w:val="28"/>
        </w:rPr>
        <w:t>;</w:t>
      </w:r>
      <w:r w:rsidRPr="0072570C">
        <w:rPr>
          <w:rFonts w:ascii="Times New Roman" w:eastAsia="Times New Roman" w:hAnsi="Times New Roman" w:cs="Times New Roman"/>
          <w:noProof/>
          <w:sz w:val="28"/>
          <w:szCs w:val="28"/>
          <w:lang w:val="vi-VN"/>
        </w:rPr>
        <w:t xml:space="preserve"> Mục III Phần III; </w:t>
      </w:r>
      <w:r w:rsidRPr="0072570C" w:rsidDel="00375179">
        <w:rPr>
          <w:rFonts w:ascii="Times New Roman" w:eastAsia="Times New Roman" w:hAnsi="Times New Roman" w:cs="Times New Roman"/>
          <w:noProof/>
          <w:sz w:val="28"/>
          <w:szCs w:val="28"/>
          <w:lang w:val="vi-VN"/>
        </w:rPr>
        <w:t xml:space="preserve"> </w:t>
      </w:r>
      <w:r w:rsidRPr="0072570C">
        <w:rPr>
          <w:rFonts w:ascii="Times New Roman" w:eastAsia="Times New Roman" w:hAnsi="Times New Roman" w:cs="Times New Roman"/>
          <w:noProof/>
          <w:sz w:val="28"/>
          <w:szCs w:val="28"/>
          <w:lang w:val="vi-VN"/>
        </w:rPr>
        <w:t>Thông tư số 03/2007/TT-NHNN ngày 05</w:t>
      </w:r>
      <w:r w:rsidRPr="0072570C">
        <w:rPr>
          <w:rFonts w:ascii="Times New Roman" w:eastAsia="Times New Roman" w:hAnsi="Times New Roman" w:cs="Times New Roman"/>
          <w:noProof/>
          <w:sz w:val="28"/>
          <w:szCs w:val="28"/>
        </w:rPr>
        <w:t xml:space="preserve"> tháng </w:t>
      </w:r>
      <w:r w:rsidRPr="0072570C">
        <w:rPr>
          <w:rFonts w:ascii="Times New Roman" w:eastAsia="Times New Roman" w:hAnsi="Times New Roman" w:cs="Times New Roman"/>
          <w:noProof/>
          <w:sz w:val="28"/>
          <w:szCs w:val="28"/>
          <w:lang w:val="vi-VN"/>
        </w:rPr>
        <w:t>6</w:t>
      </w:r>
      <w:r w:rsidRPr="0072570C">
        <w:rPr>
          <w:rFonts w:ascii="Times New Roman" w:eastAsia="Times New Roman" w:hAnsi="Times New Roman" w:cs="Times New Roman"/>
          <w:noProof/>
          <w:sz w:val="28"/>
          <w:szCs w:val="28"/>
        </w:rPr>
        <w:t xml:space="preserve"> năm </w:t>
      </w:r>
      <w:r w:rsidRPr="0072570C">
        <w:rPr>
          <w:rFonts w:ascii="Times New Roman" w:eastAsia="Times New Roman" w:hAnsi="Times New Roman" w:cs="Times New Roman"/>
          <w:noProof/>
          <w:sz w:val="28"/>
          <w:szCs w:val="28"/>
          <w:lang w:val="vi-VN"/>
        </w:rPr>
        <w:t xml:space="preserve">2007 của Thống đốc Ngân hàng Nhà nước hướng dẫn thi hành một số điều của Nghị định số 22/2006/NĐ-CP ngày 28 tháng 02 năm 2006 của Chính phủ về tổ chức và hoạt động của chi nhánh ngân hàng nước ngoài, ngân hàng liên doanh, ngân hàng 100% vốn nước ngoài, văn phòng đại diện của tổ chức tín dụng nước ngoài tại Việt Nam; </w:t>
      </w:r>
    </w:p>
    <w:p w:rsidR="0072570C" w:rsidRPr="0072570C" w:rsidRDefault="0072570C" w:rsidP="0072570C">
      <w:pPr>
        <w:spacing w:before="100" w:after="100" w:line="288" w:lineRule="auto"/>
        <w:ind w:right="-57" w:firstLine="70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 Quyết định số 516/2003/QĐ-NHNN ngày 2</w:t>
      </w:r>
      <w:r w:rsidRPr="0072570C">
        <w:rPr>
          <w:rFonts w:ascii="Times New Roman" w:eastAsia="Times New Roman" w:hAnsi="Times New Roman" w:cs="Times New Roman"/>
          <w:noProof/>
          <w:sz w:val="28"/>
          <w:szCs w:val="28"/>
        </w:rPr>
        <w:t xml:space="preserve">6 tháng 5 năm </w:t>
      </w:r>
      <w:r w:rsidRPr="0072570C">
        <w:rPr>
          <w:rFonts w:ascii="Times New Roman" w:eastAsia="Times New Roman" w:hAnsi="Times New Roman" w:cs="Times New Roman"/>
          <w:noProof/>
          <w:sz w:val="28"/>
          <w:szCs w:val="28"/>
          <w:lang w:val="vi-VN"/>
        </w:rPr>
        <w:t>2003 của Thống đốc Ngân hàng Nhà nước ban hành Quy định về tổ chức và hoạt động của Hội đồng quản trị, Ban Kiểm soát, Tổng Giám đốc (Giám đốc) tổ chức tín dụng phi ngân hàng và Quyết định số 14/2006/QĐ-NHNN ngày 04</w:t>
      </w:r>
      <w:r w:rsidRPr="0072570C">
        <w:rPr>
          <w:rFonts w:ascii="Times New Roman" w:eastAsia="Times New Roman" w:hAnsi="Times New Roman" w:cs="Times New Roman"/>
          <w:noProof/>
          <w:sz w:val="28"/>
          <w:szCs w:val="28"/>
        </w:rPr>
        <w:t xml:space="preserve"> tháng </w:t>
      </w:r>
      <w:r w:rsidRPr="0072570C">
        <w:rPr>
          <w:rFonts w:ascii="Times New Roman" w:eastAsia="Times New Roman" w:hAnsi="Times New Roman" w:cs="Times New Roman"/>
          <w:noProof/>
          <w:sz w:val="28"/>
          <w:szCs w:val="28"/>
          <w:lang w:val="vi-VN"/>
        </w:rPr>
        <w:t>4</w:t>
      </w:r>
      <w:r w:rsidRPr="0072570C">
        <w:rPr>
          <w:rFonts w:ascii="Times New Roman" w:eastAsia="Times New Roman" w:hAnsi="Times New Roman" w:cs="Times New Roman"/>
          <w:noProof/>
          <w:sz w:val="28"/>
          <w:szCs w:val="28"/>
        </w:rPr>
        <w:t xml:space="preserve"> năm </w:t>
      </w:r>
      <w:r w:rsidRPr="0072570C">
        <w:rPr>
          <w:rFonts w:ascii="Times New Roman" w:eastAsia="Times New Roman" w:hAnsi="Times New Roman" w:cs="Times New Roman"/>
          <w:noProof/>
          <w:sz w:val="28"/>
          <w:szCs w:val="28"/>
          <w:lang w:val="vi-VN"/>
        </w:rPr>
        <w:t>2006 của Thống đốc Ngân hàng Nhà nước về việc sửa đổi, bổ sung một số điều của Quy định về tổ chức và hoạt động của Hội đồng quản trị, Ban kiểm soát, Tổng Giám đốc (Giám đốc) tổ chức tín dụng phi ngân hàng ban hành kèm theo Quyết định số 516/2003/QĐ-NHNN ngày 26</w:t>
      </w:r>
      <w:r w:rsidRPr="0072570C">
        <w:rPr>
          <w:rFonts w:ascii="Times New Roman" w:eastAsia="Times New Roman" w:hAnsi="Times New Roman" w:cs="Times New Roman"/>
          <w:noProof/>
          <w:sz w:val="28"/>
          <w:szCs w:val="28"/>
        </w:rPr>
        <w:t xml:space="preserve"> tháng </w:t>
      </w:r>
      <w:r w:rsidRPr="0072570C">
        <w:rPr>
          <w:rFonts w:ascii="Times New Roman" w:eastAsia="Times New Roman" w:hAnsi="Times New Roman" w:cs="Times New Roman"/>
          <w:noProof/>
          <w:sz w:val="28"/>
          <w:szCs w:val="28"/>
          <w:lang w:val="vi-VN"/>
        </w:rPr>
        <w:t>5</w:t>
      </w:r>
      <w:r w:rsidRPr="0072570C">
        <w:rPr>
          <w:rFonts w:ascii="Times New Roman" w:eastAsia="Times New Roman" w:hAnsi="Times New Roman" w:cs="Times New Roman"/>
          <w:noProof/>
          <w:sz w:val="28"/>
          <w:szCs w:val="28"/>
        </w:rPr>
        <w:t xml:space="preserve"> năm </w:t>
      </w:r>
      <w:r w:rsidRPr="0072570C">
        <w:rPr>
          <w:rFonts w:ascii="Times New Roman" w:eastAsia="Times New Roman" w:hAnsi="Times New Roman" w:cs="Times New Roman"/>
          <w:noProof/>
          <w:sz w:val="28"/>
          <w:szCs w:val="28"/>
          <w:lang w:val="vi-VN"/>
        </w:rPr>
        <w:t>2003.</w:t>
      </w:r>
    </w:p>
    <w:p w:rsidR="0072570C" w:rsidRPr="0072570C" w:rsidRDefault="0072570C" w:rsidP="0072570C">
      <w:pPr>
        <w:tabs>
          <w:tab w:val="left" w:pos="1122"/>
        </w:tabs>
        <w:spacing w:before="100" w:after="100" w:line="288" w:lineRule="auto"/>
        <w:ind w:right="43" w:firstLine="749"/>
        <w:jc w:val="both"/>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 xml:space="preserve">Điều 17. </w:t>
      </w:r>
      <w:bookmarkEnd w:id="10"/>
      <w:bookmarkEnd w:id="11"/>
      <w:r w:rsidRPr="0072570C">
        <w:rPr>
          <w:rFonts w:ascii="Times New Roman" w:eastAsia="Times New Roman" w:hAnsi="Times New Roman" w:cs="Times New Roman"/>
          <w:b/>
          <w:noProof/>
          <w:sz w:val="28"/>
          <w:szCs w:val="28"/>
          <w:lang w:val="vi-VN"/>
        </w:rPr>
        <w:t>Tổ chức thực hiện</w:t>
      </w:r>
    </w:p>
    <w:p w:rsidR="0072570C" w:rsidRPr="0072570C" w:rsidRDefault="0072570C" w:rsidP="0072570C">
      <w:pPr>
        <w:spacing w:before="100" w:after="100" w:line="288" w:lineRule="auto"/>
        <w:ind w:right="43" w:firstLine="749"/>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Chánh Văn phòng, Chánh Thanh tra, giám sát ngân hàng, Thủ trưởng các đơn vị thuộc Ngân hàng Nhà nước, Giám đốc Ngân hàng Nhà nước Chi nhánh các tỉnh, thành phố, Chủ tịch và các thành viên Hội đồng quản trị, Hội đồng thành viên, Trưởng ban và các thành viên Ban kiểm soát, Tổng giám đốc (Giám đốc) các tổ chức tín dụng, Tổng Giám đốc (Giám đốc) chi nhánh ngân hàng nước ngoài có trách nhiệm thực hiện Thông tư này./.</w:t>
      </w:r>
    </w:p>
    <w:p w:rsidR="0072570C" w:rsidRPr="0072570C" w:rsidRDefault="0072570C" w:rsidP="0072570C">
      <w:pPr>
        <w:tabs>
          <w:tab w:val="left" w:pos="1122"/>
        </w:tabs>
        <w:spacing w:before="120" w:after="120" w:line="276" w:lineRule="auto"/>
        <w:ind w:right="43" w:firstLine="749"/>
        <w:jc w:val="both"/>
        <w:rPr>
          <w:rFonts w:ascii="Times New Roman" w:eastAsia="Times New Roman" w:hAnsi="Times New Roman" w:cs="Times New Roman"/>
          <w:noProof/>
          <w:sz w:val="4"/>
          <w:szCs w:val="28"/>
          <w:lang w:val="vi-VN"/>
        </w:rPr>
      </w:pPr>
    </w:p>
    <w:tbl>
      <w:tblPr>
        <w:tblW w:w="9538" w:type="dxa"/>
        <w:tblInd w:w="108" w:type="dxa"/>
        <w:tblLook w:val="01E0" w:firstRow="1" w:lastRow="1" w:firstColumn="1" w:lastColumn="1" w:noHBand="0" w:noVBand="0"/>
      </w:tblPr>
      <w:tblGrid>
        <w:gridCol w:w="3510"/>
        <w:gridCol w:w="6028"/>
      </w:tblGrid>
      <w:tr w:rsidR="0072570C" w:rsidRPr="0072570C" w:rsidTr="00C46FA9">
        <w:trPr>
          <w:trHeight w:val="1623"/>
        </w:trPr>
        <w:tc>
          <w:tcPr>
            <w:tcW w:w="3510" w:type="dxa"/>
          </w:tcPr>
          <w:p w:rsidR="0072570C" w:rsidRPr="0072570C" w:rsidRDefault="0072570C" w:rsidP="0072570C">
            <w:pPr>
              <w:spacing w:before="40" w:after="0" w:line="240" w:lineRule="auto"/>
              <w:ind w:right="43"/>
              <w:jc w:val="both"/>
              <w:rPr>
                <w:rFonts w:ascii="Times New Roman" w:eastAsia="Times New Roman" w:hAnsi="Times New Roman" w:cs="Times New Roman"/>
                <w:b/>
                <w:i/>
                <w:noProof/>
                <w:sz w:val="24"/>
                <w:szCs w:val="24"/>
                <w:lang w:val="vi-VN"/>
              </w:rPr>
            </w:pPr>
            <w:r w:rsidRPr="0072570C">
              <w:rPr>
                <w:rFonts w:ascii="Times New Roman" w:eastAsia="Times New Roman" w:hAnsi="Times New Roman" w:cs="Times New Roman"/>
                <w:b/>
                <w:i/>
                <w:noProof/>
                <w:sz w:val="24"/>
                <w:szCs w:val="24"/>
                <w:lang w:val="vi-VN"/>
              </w:rPr>
              <w:t>Nơi nhận:</w:t>
            </w:r>
          </w:p>
          <w:p w:rsidR="0072570C" w:rsidRPr="0072570C" w:rsidRDefault="0072570C" w:rsidP="0072570C">
            <w:pPr>
              <w:spacing w:before="40" w:after="0" w:line="240" w:lineRule="auto"/>
              <w:rPr>
                <w:rFonts w:ascii="Times New Roman" w:eastAsia="Times New Roman" w:hAnsi="Times New Roman" w:cs="Times New Roman"/>
                <w:noProof/>
                <w:lang w:val="vi-VN"/>
              </w:rPr>
            </w:pPr>
            <w:r w:rsidRPr="0072570C">
              <w:rPr>
                <w:rFonts w:ascii="Times New Roman" w:eastAsia="Times New Roman" w:hAnsi="Times New Roman" w:cs="Times New Roman"/>
                <w:noProof/>
                <w:lang w:val="vi-VN"/>
              </w:rPr>
              <w:t>- Như Điều 17;</w:t>
            </w:r>
          </w:p>
          <w:p w:rsidR="0072570C" w:rsidRPr="0072570C" w:rsidRDefault="0072570C" w:rsidP="0072570C">
            <w:pPr>
              <w:spacing w:before="40" w:after="0" w:line="240" w:lineRule="auto"/>
              <w:rPr>
                <w:rFonts w:ascii="Times New Roman" w:eastAsia="Times New Roman" w:hAnsi="Times New Roman" w:cs="Times New Roman"/>
                <w:noProof/>
                <w:lang w:val="vi-VN"/>
              </w:rPr>
            </w:pPr>
            <w:r w:rsidRPr="0072570C">
              <w:rPr>
                <w:rFonts w:ascii="Times New Roman" w:eastAsia="Times New Roman" w:hAnsi="Times New Roman" w:cs="Times New Roman"/>
                <w:noProof/>
                <w:lang w:val="vi-VN"/>
              </w:rPr>
              <w:t>- Ban lãnh đạo NHNN;</w:t>
            </w:r>
          </w:p>
          <w:p w:rsidR="0072570C" w:rsidRPr="0072570C" w:rsidRDefault="0072570C" w:rsidP="0072570C">
            <w:pPr>
              <w:spacing w:before="40" w:after="0" w:line="240" w:lineRule="auto"/>
              <w:rPr>
                <w:rFonts w:ascii="Times New Roman" w:eastAsia="Times New Roman" w:hAnsi="Times New Roman" w:cs="Times New Roman"/>
                <w:noProof/>
                <w:lang w:val="vi-VN"/>
              </w:rPr>
            </w:pPr>
            <w:r w:rsidRPr="0072570C">
              <w:rPr>
                <w:rFonts w:ascii="Times New Roman" w:eastAsia="Times New Roman" w:hAnsi="Times New Roman" w:cs="Times New Roman"/>
                <w:noProof/>
                <w:lang w:val="vi-VN"/>
              </w:rPr>
              <w:t>- Văn phòng Chính phủ;</w:t>
            </w:r>
          </w:p>
          <w:p w:rsidR="0072570C" w:rsidRPr="0072570C" w:rsidRDefault="0072570C" w:rsidP="0072570C">
            <w:pPr>
              <w:spacing w:before="40" w:after="0" w:line="240" w:lineRule="auto"/>
              <w:rPr>
                <w:rFonts w:ascii="Times New Roman" w:eastAsia="Times New Roman" w:hAnsi="Times New Roman" w:cs="Times New Roman"/>
                <w:noProof/>
                <w:lang w:val="vi-VN"/>
              </w:rPr>
            </w:pPr>
            <w:r w:rsidRPr="0072570C">
              <w:rPr>
                <w:rFonts w:ascii="Times New Roman" w:eastAsia="Times New Roman" w:hAnsi="Times New Roman" w:cs="Times New Roman"/>
                <w:noProof/>
                <w:lang w:val="vi-VN"/>
              </w:rPr>
              <w:t>- Bộ Tư pháp (để kiểm tra);</w:t>
            </w:r>
          </w:p>
          <w:p w:rsidR="0072570C" w:rsidRPr="0072570C" w:rsidRDefault="0072570C" w:rsidP="0072570C">
            <w:pPr>
              <w:spacing w:before="40" w:after="0" w:line="240" w:lineRule="auto"/>
              <w:rPr>
                <w:rFonts w:ascii="Times New Roman" w:eastAsia="Times New Roman" w:hAnsi="Times New Roman" w:cs="Times New Roman"/>
                <w:noProof/>
                <w:lang w:val="vi-VN"/>
              </w:rPr>
            </w:pPr>
            <w:r w:rsidRPr="0072570C">
              <w:rPr>
                <w:rFonts w:ascii="Times New Roman" w:eastAsia="Times New Roman" w:hAnsi="Times New Roman" w:cs="Times New Roman"/>
                <w:noProof/>
                <w:lang w:val="vi-VN"/>
              </w:rPr>
              <w:t>- Công báo;</w:t>
            </w:r>
          </w:p>
          <w:p w:rsidR="0072570C" w:rsidRPr="0072570C" w:rsidRDefault="0072570C" w:rsidP="0072570C">
            <w:pPr>
              <w:spacing w:before="40" w:after="0" w:line="240" w:lineRule="auto"/>
              <w:ind w:right="43"/>
              <w:jc w:val="both"/>
              <w:rPr>
                <w:rFonts w:ascii="Times New Roman" w:eastAsia="Times New Roman" w:hAnsi="Times New Roman" w:cs="Times New Roman"/>
                <w:noProof/>
                <w:sz w:val="24"/>
                <w:szCs w:val="24"/>
                <w:lang w:val="vi-VN"/>
              </w:rPr>
            </w:pPr>
            <w:r w:rsidRPr="0072570C">
              <w:rPr>
                <w:rFonts w:ascii="Times New Roman" w:eastAsia="Times New Roman" w:hAnsi="Times New Roman" w:cs="Times New Roman"/>
                <w:noProof/>
                <w:lang w:val="vi-VN"/>
              </w:rPr>
              <w:t>- Lưu: VP, Vụ PC, TTGSNH (3).</w:t>
            </w:r>
          </w:p>
        </w:tc>
        <w:tc>
          <w:tcPr>
            <w:tcW w:w="6028" w:type="dxa"/>
          </w:tcPr>
          <w:p w:rsidR="0072570C" w:rsidRPr="0072570C" w:rsidRDefault="0072570C" w:rsidP="0072570C">
            <w:pPr>
              <w:spacing w:after="0" w:line="240" w:lineRule="auto"/>
              <w:ind w:right="43"/>
              <w:jc w:val="center"/>
              <w:rPr>
                <w:rFonts w:ascii="Times New Roman" w:eastAsia="Times New Roman" w:hAnsi="Times New Roman" w:cs="Times New Roman"/>
                <w:b/>
                <w:noProof/>
                <w:sz w:val="26"/>
                <w:szCs w:val="24"/>
                <w:lang w:val="vi-VN"/>
              </w:rPr>
            </w:pPr>
            <w:r w:rsidRPr="0072570C">
              <w:rPr>
                <w:rFonts w:ascii="Times New Roman" w:eastAsia="Times New Roman" w:hAnsi="Times New Roman" w:cs="Times New Roman"/>
                <w:b/>
                <w:noProof/>
                <w:sz w:val="26"/>
                <w:szCs w:val="24"/>
                <w:lang w:val="vi-VN"/>
              </w:rPr>
              <w:t>THỐNG ĐỐC</w:t>
            </w:r>
          </w:p>
          <w:p w:rsidR="0072570C" w:rsidRPr="0072570C" w:rsidRDefault="0072570C" w:rsidP="0072570C">
            <w:pPr>
              <w:spacing w:after="0" w:line="240" w:lineRule="auto"/>
              <w:ind w:right="43"/>
              <w:jc w:val="both"/>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4"/>
                <w:szCs w:val="24"/>
                <w:lang w:val="vi-VN"/>
              </w:rPr>
              <w:t xml:space="preserve">    </w:t>
            </w:r>
          </w:p>
          <w:p w:rsidR="0072570C" w:rsidRPr="0072570C" w:rsidRDefault="0072570C" w:rsidP="0072570C">
            <w:pPr>
              <w:spacing w:after="0" w:line="240" w:lineRule="auto"/>
              <w:ind w:right="43"/>
              <w:jc w:val="both"/>
              <w:rPr>
                <w:rFonts w:ascii="Times New Roman" w:eastAsia="Times New Roman" w:hAnsi="Times New Roman" w:cs="Times New Roman"/>
                <w:b/>
                <w:noProof/>
                <w:sz w:val="24"/>
                <w:szCs w:val="24"/>
                <w:lang w:val="vi-VN"/>
              </w:rPr>
            </w:pPr>
          </w:p>
          <w:p w:rsidR="0072570C" w:rsidRPr="0072570C" w:rsidRDefault="0072570C" w:rsidP="0072570C">
            <w:pPr>
              <w:spacing w:after="0" w:line="240" w:lineRule="auto"/>
              <w:ind w:right="43"/>
              <w:jc w:val="both"/>
              <w:rPr>
                <w:rFonts w:ascii="Times New Roman" w:eastAsia="Times New Roman" w:hAnsi="Times New Roman" w:cs="Times New Roman"/>
                <w:noProof/>
                <w:sz w:val="24"/>
                <w:szCs w:val="28"/>
                <w:lang w:val="vi-VN"/>
              </w:rPr>
            </w:pPr>
          </w:p>
        </w:tc>
      </w:tr>
    </w:tbl>
    <w:p w:rsidR="0072570C" w:rsidRPr="0072570C" w:rsidRDefault="0072570C" w:rsidP="0072570C">
      <w:pPr>
        <w:spacing w:after="0" w:line="240" w:lineRule="auto"/>
        <w:rPr>
          <w:rFonts w:ascii="Times New Roman" w:eastAsia="Times New Roman" w:hAnsi="Times New Roman" w:cs="Times New Roman"/>
          <w:noProof/>
          <w:sz w:val="28"/>
          <w:szCs w:val="28"/>
        </w:rPr>
      </w:pPr>
    </w:p>
    <w:p w:rsidR="0072570C" w:rsidRPr="0072570C" w:rsidRDefault="0072570C" w:rsidP="0072570C">
      <w:pPr>
        <w:shd w:val="clear" w:color="auto" w:fill="FFFFFF"/>
        <w:spacing w:after="0" w:line="234" w:lineRule="atLeast"/>
        <w:rPr>
          <w:rFonts w:ascii="Times New Roman" w:eastAsia="Times New Roman" w:hAnsi="Times New Roman" w:cs="Times New Roman"/>
          <w:noProof/>
          <w:sz w:val="28"/>
          <w:szCs w:val="28"/>
        </w:rPr>
      </w:pPr>
    </w:p>
    <w:p w:rsidR="005B7649" w:rsidRDefault="005B7649"/>
    <w:sectPr w:rsidR="005B7649" w:rsidSect="00C46FA9">
      <w:headerReference w:type="default" r:id="rId6"/>
      <w:footerReference w:type="even" r:id="rId7"/>
      <w:footerReference w:type="default" r:id="rId8"/>
      <w:pgSz w:w="11907" w:h="16840" w:code="9"/>
      <w:pgMar w:top="630" w:right="1134" w:bottom="360" w:left="1701" w:header="567"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DD" w:rsidRDefault="000D4CDD" w:rsidP="0072570C">
      <w:pPr>
        <w:spacing w:after="0" w:line="240" w:lineRule="auto"/>
      </w:pPr>
      <w:r>
        <w:separator/>
      </w:r>
    </w:p>
  </w:endnote>
  <w:endnote w:type="continuationSeparator" w:id="0">
    <w:p w:rsidR="000D4CDD" w:rsidRDefault="000D4CDD" w:rsidP="0072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55" w:rsidRDefault="000D4CDD" w:rsidP="007D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655" w:rsidRDefault="000D4CDD" w:rsidP="007D1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247868"/>
      <w:docPartObj>
        <w:docPartGallery w:val="Page Numbers (Bottom of Page)"/>
        <w:docPartUnique/>
      </w:docPartObj>
    </w:sdtPr>
    <w:sdtEndPr>
      <w:rPr>
        <w:noProof/>
      </w:rPr>
    </w:sdtEndPr>
    <w:sdtContent>
      <w:p w:rsidR="0072570C" w:rsidRDefault="0072570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EB3655" w:rsidRDefault="000D4CDD" w:rsidP="00CB568B">
    <w:pPr>
      <w:pStyle w:val="Footer"/>
      <w:ind w:right="-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DD" w:rsidRDefault="000D4CDD" w:rsidP="0072570C">
      <w:pPr>
        <w:spacing w:after="0" w:line="240" w:lineRule="auto"/>
      </w:pPr>
      <w:r>
        <w:separator/>
      </w:r>
    </w:p>
  </w:footnote>
  <w:footnote w:type="continuationSeparator" w:id="0">
    <w:p w:rsidR="000D4CDD" w:rsidRDefault="000D4CDD" w:rsidP="0072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55" w:rsidRDefault="000D4CDD">
    <w:pPr>
      <w:pStyle w:val="Header"/>
      <w:jc w:val="center"/>
    </w:pPr>
    <w:r>
      <w:fldChar w:fldCharType="begin"/>
    </w:r>
    <w:r>
      <w:instrText xml:space="preserve"> PAGE   \* MERGEFORMAT </w:instrText>
    </w:r>
    <w:r>
      <w:fldChar w:fldCharType="separate"/>
    </w:r>
    <w:r w:rsidR="0072570C">
      <w:rPr>
        <w:noProof/>
      </w:rPr>
      <w:t>11</w:t>
    </w:r>
    <w:r>
      <w:rPr>
        <w:noProof/>
      </w:rPr>
      <w:fldChar w:fldCharType="end"/>
    </w:r>
  </w:p>
  <w:p w:rsidR="005E3655" w:rsidRDefault="000D4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0C"/>
    <w:rsid w:val="000D4CDD"/>
    <w:rsid w:val="005B7649"/>
    <w:rsid w:val="0072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ABCAA-03B0-4285-9D4B-8EB98924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0C"/>
  </w:style>
  <w:style w:type="paragraph" w:styleId="Header">
    <w:name w:val="header"/>
    <w:basedOn w:val="Normal"/>
    <w:link w:val="HeaderChar"/>
    <w:uiPriority w:val="99"/>
    <w:unhideWhenUsed/>
    <w:rsid w:val="0072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0C"/>
  </w:style>
  <w:style w:type="character" w:styleId="PageNumber">
    <w:name w:val="page number"/>
    <w:basedOn w:val="DefaultParagraphFont"/>
    <w:rsid w:val="0072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9472D-0486-4C7C-9B01-E0DD04A7B641}"/>
</file>

<file path=customXml/itemProps2.xml><?xml version="1.0" encoding="utf-8"?>
<ds:datastoreItem xmlns:ds="http://schemas.openxmlformats.org/officeDocument/2006/customXml" ds:itemID="{5BA2C9DB-1E2B-4955-B351-940C09305C65}"/>
</file>

<file path=customXml/itemProps3.xml><?xml version="1.0" encoding="utf-8"?>
<ds:datastoreItem xmlns:ds="http://schemas.openxmlformats.org/officeDocument/2006/customXml" ds:itemID="{CDC1AA96-EDB0-4B23-B943-052B7DABCC30}"/>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2018-09-06T07:04:00Z</dcterms:created>
  <dcterms:modified xsi:type="dcterms:W3CDTF">2018-09-06T07:05:00Z</dcterms:modified>
</cp:coreProperties>
</file>